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D4" w:rsidRPr="00FE43D4" w:rsidRDefault="00FE43D4" w:rsidP="00FE43D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rFonts w:ascii="Arial" w:hAnsi="Arial" w:cs="Arial"/>
          <w:b/>
          <w:color w:val="094153"/>
          <w:sz w:val="28"/>
          <w:lang w:val="en-US"/>
        </w:rPr>
      </w:pPr>
      <w:bookmarkStart w:id="0" w:name="_GoBack"/>
      <w:r w:rsidRPr="00FE43D4">
        <w:rPr>
          <w:rFonts w:ascii="Arial" w:hAnsi="Arial" w:cs="Arial"/>
          <w:b/>
          <w:color w:val="094153"/>
          <w:sz w:val="28"/>
        </w:rPr>
        <w:t xml:space="preserve">Лекция 9. Инструментальная среда </w:t>
      </w:r>
      <w:proofErr w:type="spellStart"/>
      <w:r w:rsidRPr="00FE43D4">
        <w:rPr>
          <w:rFonts w:ascii="Arial" w:hAnsi="Arial" w:cs="Arial"/>
          <w:b/>
          <w:color w:val="094153"/>
          <w:sz w:val="28"/>
          <w:lang w:val="en-US"/>
        </w:rPr>
        <w:t>BPwin</w:t>
      </w:r>
      <w:proofErr w:type="spellEnd"/>
    </w:p>
    <w:bookmarkEnd w:id="0"/>
    <w:p w:rsidR="00FE43D4" w:rsidRDefault="00FE43D4" w:rsidP="00FE43D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rFonts w:ascii="Arial" w:hAnsi="Arial" w:cs="Arial"/>
          <w:color w:val="094153"/>
        </w:rPr>
      </w:pPr>
      <w:proofErr w:type="spellStart"/>
      <w:r>
        <w:rPr>
          <w:rFonts w:ascii="Arial" w:hAnsi="Arial" w:cs="Arial"/>
          <w:color w:val="094153"/>
        </w:rPr>
        <w:t>BPwin</w:t>
      </w:r>
      <w:proofErr w:type="spellEnd"/>
      <w:r>
        <w:rPr>
          <w:rFonts w:ascii="Arial" w:hAnsi="Arial" w:cs="Arial"/>
          <w:color w:val="094153"/>
        </w:rPr>
        <w:t xml:space="preserve"> имеет достаточно простой и интуитивно понятный интерфейс пользователя. При запуске </w:t>
      </w:r>
      <w:proofErr w:type="spellStart"/>
      <w:r>
        <w:rPr>
          <w:rFonts w:ascii="Arial" w:hAnsi="Arial" w:cs="Arial"/>
          <w:color w:val="094153"/>
        </w:rPr>
        <w:t>BPwin</w:t>
      </w:r>
      <w:proofErr w:type="spellEnd"/>
      <w:r>
        <w:rPr>
          <w:rFonts w:ascii="Arial" w:hAnsi="Arial" w:cs="Arial"/>
          <w:color w:val="094153"/>
        </w:rPr>
        <w:t xml:space="preserve"> по умолчанию появляется основная панель инструментов, палитра инструментов (вид которой зависит от выбранной нотации) и, в левой части, навигатор модели — </w:t>
      </w:r>
      <w:proofErr w:type="spellStart"/>
      <w:r>
        <w:rPr>
          <w:rFonts w:ascii="Arial" w:hAnsi="Arial" w:cs="Arial"/>
          <w:color w:val="094153"/>
        </w:rPr>
        <w:t>Model</w:t>
      </w:r>
      <w:proofErr w:type="spellEnd"/>
      <w:r>
        <w:rPr>
          <w:rFonts w:ascii="Arial" w:hAnsi="Arial" w:cs="Arial"/>
          <w:color w:val="094153"/>
        </w:rPr>
        <w:t xml:space="preserve"> </w:t>
      </w:r>
      <w:proofErr w:type="spellStart"/>
      <w:r>
        <w:rPr>
          <w:rFonts w:ascii="Arial" w:hAnsi="Arial" w:cs="Arial"/>
          <w:color w:val="094153"/>
        </w:rPr>
        <w:t>Explorer</w:t>
      </w:r>
      <w:proofErr w:type="spellEnd"/>
      <w:r>
        <w:rPr>
          <w:rFonts w:ascii="Arial" w:hAnsi="Arial" w:cs="Arial"/>
          <w:color w:val="094153"/>
        </w:rPr>
        <w:t xml:space="preserve"> (рис. П</w:t>
      </w:r>
      <w:proofErr w:type="gramStart"/>
      <w:r>
        <w:rPr>
          <w:rFonts w:ascii="Arial" w:hAnsi="Arial" w:cs="Arial"/>
          <w:color w:val="094153"/>
        </w:rPr>
        <w:t>2</w:t>
      </w:r>
      <w:proofErr w:type="gramEnd"/>
      <w:r>
        <w:rPr>
          <w:rFonts w:ascii="Arial" w:hAnsi="Arial" w:cs="Arial"/>
          <w:color w:val="094153"/>
        </w:rPr>
        <w:t>.1).</w:t>
      </w:r>
    </w:p>
    <w:p w:rsidR="00FE43D4" w:rsidRDefault="00FE43D4" w:rsidP="00FE43D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rFonts w:ascii="Arial" w:hAnsi="Arial" w:cs="Arial"/>
          <w:color w:val="094153"/>
        </w:rPr>
      </w:pPr>
      <w:r>
        <w:rPr>
          <w:rFonts w:ascii="Arial" w:hAnsi="Arial" w:cs="Arial"/>
          <w:color w:val="094153"/>
        </w:rPr>
        <w:t xml:space="preserve">При создании новой модели возникает диалог, в котором следует указать, будет ли создана модель заново или она будет открыта из файла либо из </w:t>
      </w:r>
      <w:proofErr w:type="spellStart"/>
      <w:r>
        <w:rPr>
          <w:rFonts w:ascii="Arial" w:hAnsi="Arial" w:cs="Arial"/>
          <w:color w:val="094153"/>
        </w:rPr>
        <w:t>репозитория</w:t>
      </w:r>
      <w:proofErr w:type="spellEnd"/>
      <w:r>
        <w:rPr>
          <w:rFonts w:ascii="Arial" w:hAnsi="Arial" w:cs="Arial"/>
          <w:color w:val="094153"/>
        </w:rPr>
        <w:t xml:space="preserve"> </w:t>
      </w:r>
      <w:proofErr w:type="spellStart"/>
      <w:r>
        <w:rPr>
          <w:rFonts w:ascii="Arial" w:hAnsi="Arial" w:cs="Arial"/>
          <w:color w:val="094153"/>
        </w:rPr>
        <w:t>ModelMart</w:t>
      </w:r>
      <w:proofErr w:type="spellEnd"/>
      <w:r>
        <w:rPr>
          <w:rFonts w:ascii="Arial" w:hAnsi="Arial" w:cs="Arial"/>
          <w:color w:val="094153"/>
        </w:rPr>
        <w:t>, затем внести имя модели и выбрать методологию, в которой будет построена модель (рис. П</w:t>
      </w:r>
      <w:proofErr w:type="gramStart"/>
      <w:r>
        <w:rPr>
          <w:rFonts w:ascii="Arial" w:hAnsi="Arial" w:cs="Arial"/>
          <w:color w:val="094153"/>
        </w:rPr>
        <w:t>2</w:t>
      </w:r>
      <w:proofErr w:type="gramEnd"/>
      <w:r>
        <w:rPr>
          <w:rFonts w:ascii="Arial" w:hAnsi="Arial" w:cs="Arial"/>
          <w:color w:val="094153"/>
        </w:rPr>
        <w:t>.2).</w:t>
      </w:r>
    </w:p>
    <w:p w:rsidR="00FE43D4" w:rsidRDefault="00FE43D4" w:rsidP="00FE43D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rFonts w:ascii="Arial" w:hAnsi="Arial" w:cs="Arial"/>
          <w:color w:val="094153"/>
        </w:rPr>
      </w:pPr>
      <w:r>
        <w:rPr>
          <w:rFonts w:ascii="Arial" w:hAnsi="Arial" w:cs="Arial"/>
          <w:color w:val="094153"/>
        </w:rPr>
        <w:t xml:space="preserve">Как было указано выше, </w:t>
      </w:r>
      <w:proofErr w:type="spellStart"/>
      <w:r>
        <w:rPr>
          <w:rFonts w:ascii="Arial" w:hAnsi="Arial" w:cs="Arial"/>
          <w:color w:val="094153"/>
        </w:rPr>
        <w:t>BPwin</w:t>
      </w:r>
      <w:proofErr w:type="spellEnd"/>
      <w:r>
        <w:rPr>
          <w:rFonts w:ascii="Arial" w:hAnsi="Arial" w:cs="Arial"/>
          <w:color w:val="094153"/>
        </w:rPr>
        <w:t xml:space="preserve"> поддерживает три методологии — IDEF0, IDEF3 и DFD, каждая из которых решает свои специфические задачи. В </w:t>
      </w:r>
      <w:proofErr w:type="spellStart"/>
      <w:r>
        <w:rPr>
          <w:rFonts w:ascii="Arial" w:hAnsi="Arial" w:cs="Arial"/>
          <w:color w:val="094153"/>
        </w:rPr>
        <w:t>BPwin</w:t>
      </w:r>
      <w:proofErr w:type="spellEnd"/>
      <w:r>
        <w:rPr>
          <w:rFonts w:ascii="Arial" w:hAnsi="Arial" w:cs="Arial"/>
          <w:color w:val="094153"/>
        </w:rPr>
        <w:t xml:space="preserve"> возможно построение смешанных моделей, т. е. </w:t>
      </w:r>
      <w:proofErr w:type="gramStart"/>
      <w:r>
        <w:rPr>
          <w:rFonts w:ascii="Arial" w:hAnsi="Arial" w:cs="Arial"/>
          <w:color w:val="094153"/>
        </w:rPr>
        <w:t>модель</w:t>
      </w:r>
      <w:proofErr w:type="gramEnd"/>
      <w:r>
        <w:rPr>
          <w:rFonts w:ascii="Arial" w:hAnsi="Arial" w:cs="Arial"/>
          <w:color w:val="094153"/>
        </w:rPr>
        <w:t xml:space="preserve"> может содержать одновременно диаграммы как IDEF0, так и IDEF3 и DFD. Состав палитры инструментов изменяется автоматически, когда происходит переключение с одной нотации на другую.</w:t>
      </w:r>
    </w:p>
    <w:p w:rsidR="00FE43D4" w:rsidRDefault="00FE43D4" w:rsidP="00FE43D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rFonts w:ascii="Arial" w:hAnsi="Arial" w:cs="Arial"/>
          <w:color w:val="094153"/>
        </w:rPr>
      </w:pPr>
      <w:r>
        <w:rPr>
          <w:rFonts w:ascii="Arial" w:hAnsi="Arial" w:cs="Arial"/>
          <w:noProof/>
          <w:color w:val="094153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Интегрированная среда разработки модели BPw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Интегрированная среда разработки модели BPw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KrmPKHgMAACI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Pr="00FE43D4">
        <w:rPr>
          <w:rFonts w:ascii="Arial" w:hAnsi="Arial" w:cs="Arial"/>
          <w:color w:val="094153"/>
        </w:rPr>
        <w:drawing>
          <wp:inline distT="0" distB="0" distL="0" distR="0" wp14:anchorId="49F59761" wp14:editId="7B3BFAE8">
            <wp:extent cx="5940425" cy="38754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3D4" w:rsidRDefault="00FE43D4" w:rsidP="00FE43D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rFonts w:ascii="Arial" w:hAnsi="Arial" w:cs="Arial"/>
          <w:color w:val="094153"/>
        </w:rPr>
      </w:pPr>
      <w:r>
        <w:rPr>
          <w:rFonts w:ascii="inherit" w:hAnsi="inherit" w:cs="Arial"/>
          <w:color w:val="094153"/>
        </w:rPr>
        <w:t>Рис. П</w:t>
      </w:r>
      <w:proofErr w:type="gramStart"/>
      <w:r>
        <w:rPr>
          <w:rFonts w:ascii="inherit" w:hAnsi="inherit" w:cs="Arial"/>
          <w:color w:val="094153"/>
        </w:rPr>
        <w:t>2</w:t>
      </w:r>
      <w:proofErr w:type="gramEnd"/>
      <w:r>
        <w:rPr>
          <w:rFonts w:ascii="inherit" w:hAnsi="inherit" w:cs="Arial"/>
          <w:color w:val="094153"/>
        </w:rPr>
        <w:t>.1.</w:t>
      </w:r>
      <w:r>
        <w:rPr>
          <w:rFonts w:ascii="Arial" w:hAnsi="Arial" w:cs="Arial"/>
          <w:color w:val="094153"/>
        </w:rPr>
        <w:t xml:space="preserve"> Интегрированная среда разработки модели </w:t>
      </w:r>
      <w:proofErr w:type="spellStart"/>
      <w:r>
        <w:rPr>
          <w:rFonts w:ascii="Arial" w:hAnsi="Arial" w:cs="Arial"/>
          <w:color w:val="094153"/>
        </w:rPr>
        <w:t>BPwin</w:t>
      </w:r>
      <w:proofErr w:type="spellEnd"/>
    </w:p>
    <w:p w:rsidR="00FE43D4" w:rsidRDefault="00FE43D4" w:rsidP="00FE43D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rFonts w:ascii="Arial" w:hAnsi="Arial" w:cs="Arial"/>
          <w:color w:val="094153"/>
        </w:rPr>
      </w:pPr>
      <w:r>
        <w:rPr>
          <w:rFonts w:ascii="Arial" w:hAnsi="Arial" w:cs="Arial"/>
          <w:noProof/>
          <w:color w:val="094153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Диалог создания модел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Диалог создания модел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i&#10;KibX/QIAAPs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FE43D4">
        <w:rPr>
          <w:rFonts w:ascii="Arial" w:hAnsi="Arial" w:cs="Arial"/>
          <w:color w:val="094153"/>
        </w:rPr>
        <w:drawing>
          <wp:inline distT="0" distB="0" distL="0" distR="0" wp14:anchorId="6EC6A98D" wp14:editId="56638646">
            <wp:extent cx="3638550" cy="3390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3D4" w:rsidRDefault="00FE43D4" w:rsidP="00FE43D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rFonts w:ascii="Arial" w:hAnsi="Arial" w:cs="Arial"/>
          <w:color w:val="094153"/>
        </w:rPr>
      </w:pPr>
      <w:r>
        <w:rPr>
          <w:rFonts w:ascii="inherit" w:hAnsi="inherit" w:cs="Arial"/>
          <w:color w:val="094153"/>
        </w:rPr>
        <w:t>Рис. П</w:t>
      </w:r>
      <w:proofErr w:type="gramStart"/>
      <w:r>
        <w:rPr>
          <w:rFonts w:ascii="inherit" w:hAnsi="inherit" w:cs="Arial"/>
          <w:color w:val="094153"/>
        </w:rPr>
        <w:t>2</w:t>
      </w:r>
      <w:proofErr w:type="gramEnd"/>
      <w:r>
        <w:rPr>
          <w:rFonts w:ascii="inherit" w:hAnsi="inherit" w:cs="Arial"/>
          <w:color w:val="094153"/>
        </w:rPr>
        <w:t>.2.</w:t>
      </w:r>
      <w:r>
        <w:rPr>
          <w:rFonts w:ascii="Arial" w:hAnsi="Arial" w:cs="Arial"/>
          <w:color w:val="094153"/>
        </w:rPr>
        <w:t> Диалог создания модели</w:t>
      </w:r>
    </w:p>
    <w:p w:rsidR="00FE43D4" w:rsidRDefault="00FE43D4" w:rsidP="00FE43D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rFonts w:ascii="Arial" w:hAnsi="Arial" w:cs="Arial"/>
          <w:color w:val="094153"/>
        </w:rPr>
      </w:pPr>
      <w:r>
        <w:rPr>
          <w:rFonts w:ascii="Arial" w:hAnsi="Arial" w:cs="Arial"/>
          <w:color w:val="094153"/>
        </w:rPr>
        <w:t xml:space="preserve">Модель в </w:t>
      </w:r>
      <w:proofErr w:type="spellStart"/>
      <w:r>
        <w:rPr>
          <w:rFonts w:ascii="Arial" w:hAnsi="Arial" w:cs="Arial"/>
          <w:color w:val="094153"/>
        </w:rPr>
        <w:t>BPwin</w:t>
      </w:r>
      <w:proofErr w:type="spellEnd"/>
      <w:r>
        <w:rPr>
          <w:rFonts w:ascii="Arial" w:hAnsi="Arial" w:cs="Arial"/>
          <w:color w:val="094153"/>
        </w:rPr>
        <w:t xml:space="preserve"> рассматривается как совокупность работ, каждая из которых оперирует с некоторым набором данных. Работа изображается в виде прямоугольников, данные — в виде стрелок. Если щелкнуть по любому объекту модели левой кнопкой мыши, появляется контекстное меню, каждый пункт которого соответствует редактору какого-либо свойства объекта.</w:t>
      </w:r>
    </w:p>
    <w:p w:rsidR="00F4184A" w:rsidRDefault="00F4184A"/>
    <w:sectPr w:rsidR="00F4184A" w:rsidSect="00FE43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D4"/>
    <w:rsid w:val="003A70BD"/>
    <w:rsid w:val="00F4184A"/>
    <w:rsid w:val="00F67B94"/>
    <w:rsid w:val="00FE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3D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3D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2023-02-20T10:21:00Z</dcterms:created>
  <dcterms:modified xsi:type="dcterms:W3CDTF">2023-02-20T10:22:00Z</dcterms:modified>
</cp:coreProperties>
</file>