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42" w:rsidRPr="00000342" w:rsidRDefault="00000342" w:rsidP="00000342">
      <w:pPr>
        <w:shd w:val="clear" w:color="auto" w:fill="FFFFFF"/>
        <w:spacing w:before="360" w:after="24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36"/>
          <w:szCs w:val="36"/>
          <w:lang w:eastAsia="ru-RU"/>
        </w:rPr>
      </w:pPr>
      <w:bookmarkStart w:id="0" w:name="_GoBack"/>
      <w:r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36"/>
          <w:szCs w:val="36"/>
          <w:lang w:eastAsia="ru-RU"/>
        </w:rPr>
        <w:t xml:space="preserve">Лекция 6. </w:t>
      </w: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36"/>
          <w:szCs w:val="36"/>
          <w:lang w:eastAsia="ru-RU"/>
        </w:rPr>
        <w:t>Методы</w:t>
      </w:r>
      <w:r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36"/>
          <w:szCs w:val="36"/>
          <w:lang w:eastAsia="ru-RU"/>
        </w:rPr>
        <w:t xml:space="preserve"> и средства</w:t>
      </w: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36"/>
          <w:szCs w:val="36"/>
          <w:lang w:eastAsia="ru-RU"/>
        </w:rPr>
        <w:t xml:space="preserve"> проектирования информационных систем</w:t>
      </w:r>
    </w:p>
    <w:bookmarkEnd w:id="0"/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Методология построения информационных систем содержит три основных компонента:</w:t>
      </w:r>
    </w:p>
    <w:p w:rsidR="00000342" w:rsidRPr="00000342" w:rsidRDefault="00000342" w:rsidP="000003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набор моделей (типов моделей, если строго) для описания требований к ИС, проектных и программных решений. Каждая модель обычно содержит как определение конструкций (нотацию), так и правила их использования (синтаксис);</w:t>
      </w:r>
    </w:p>
    <w:p w:rsidR="00000342" w:rsidRPr="00000342" w:rsidRDefault="00000342" w:rsidP="00000342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метод применения набора моделей для построения информационной системы. Метод обычно использует фиксированный набор моделей и определяет последовательность их построения для описания различных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аспектовсоздаваемой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системы;</w:t>
      </w:r>
    </w:p>
    <w:p w:rsidR="00000342" w:rsidRPr="00000342" w:rsidRDefault="00000342" w:rsidP="00000342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процесс организации проектных работ, который включает различные технологии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—п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ланирования, управления проектом и т.д.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Каждый проект можно рассматривать как реализацию конкретного процесса применения метода. В зависимости от ограничений по срокам и стоимости, в конкретную реализацию могут быть включены лишь отдельные части полного метода и процесса. Кроме последовательности этапов методы проектирования отличаются объектами исследования и синтеза.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Методы проектирования информационных систем обычно относят к одному из двух видов — </w:t>
      </w: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структурному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или </w:t>
      </w: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объектному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 Правильнее было бы говорить о структурном и объектном наборах моделей, так как существуют методы построения одних и тех же моделей с несовместимыми синтаксическими правилами. Чтобы сохранить корректность терминологии, далее используется термин «подход».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Структурный подход обычно ассоциируется с раздельным построением модели функций (чаще всего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диаграммыпотоков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данных) и модели данных (чаще всего диаграммы «сущность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—с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вязь»).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Объектный подход содержит набор моделей, связанных с понятием класса/объекта, объединяющего данные (состояние) и поведение.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Сами по себе наборы моделей ни в коей мере не должны навязывать принципов построения систем. Тем не менее, нередко такие принципы считаются неотъемлемой характеристикой самих моделей. Структурный и объектный подходы успешно применяются как в спиральном, так и в каскадном жизненном цикле.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Методы проектирования архитектур информационных систем:</w:t>
      </w:r>
    </w:p>
    <w:p w:rsidR="00000342" w:rsidRPr="00000342" w:rsidRDefault="00000342" w:rsidP="00000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Проектирование архитектуры (проектирование «в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большом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»)</w:t>
      </w:r>
    </w:p>
    <w:p w:rsidR="00000342" w:rsidRPr="00000342" w:rsidRDefault="00000342" w:rsidP="00000342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Проектирование подсистем (проектирование «в малом»)</w:t>
      </w:r>
    </w:p>
    <w:p w:rsidR="00000342" w:rsidRPr="00000342" w:rsidRDefault="00000342" w:rsidP="00000342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lastRenderedPageBreak/>
        <w:t xml:space="preserve">Проектирование архитектуры (проектирование «в </w:t>
      </w:r>
      <w:proofErr w:type="gramStart"/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большом</w:t>
      </w:r>
      <w:proofErr w:type="gramEnd"/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»)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Структурная методология. Проектирование архитектуры (проектирование «в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большом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») для структурной методологии включает следующие основные методы:</w:t>
      </w:r>
    </w:p>
    <w:p w:rsidR="00000342" w:rsidRPr="00000342" w:rsidRDefault="00000342" w:rsidP="00000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нисходящего проектирования;</w:t>
      </w:r>
    </w:p>
    <w:p w:rsidR="00000342" w:rsidRPr="00000342" w:rsidRDefault="00000342" w:rsidP="0000034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восходящего проектирования;</w:t>
      </w:r>
    </w:p>
    <w:p w:rsidR="00000342" w:rsidRPr="00000342" w:rsidRDefault="00000342" w:rsidP="00000342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расширения ядра.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 случае структурной методологии в качестве модульной структуры программы принято использовать древовидную структуру. В узлах такого дерева размещаются подсистемы информационной системы, а направленные дуги показывают статическую подчиненность подсистем. Методы нисходящего и восходящего проектирования имеют достаточно большое количество разновидностей и модификаций.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нисходящего проектирования представляет собой подход функциональной декомпозиции на основе двух стратегий:</w:t>
      </w:r>
    </w:p>
    <w:p w:rsidR="00000342" w:rsidRPr="00000342" w:rsidRDefault="00000342" w:rsidP="00000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пошагового уточнения, при котором на каждом следующем этапе декомпозиции определяются подсистемы очередного, более низкого уровня;</w:t>
      </w:r>
    </w:p>
    <w:p w:rsidR="00000342" w:rsidRPr="00000342" w:rsidRDefault="00000342" w:rsidP="00000342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анализа сообщений, при котором анализируются потоки данных, обрабатываемые подсистемами.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восходящего проектирования подход, при котором в первую очередь определяются вспомогательные подсистемы, требующиеся для проектируемой системы.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расширения ядра подход, при котором основное внимание уделяется выявлению множества вспомогательных подсистем, а не определению функции всей системы в целом.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Объектно-ориентированная методология. Проектирование архитектуры для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объектноориентированной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методологии включает следующие основные методы:</w:t>
      </w:r>
    </w:p>
    <w:p w:rsidR="00000342" w:rsidRPr="00000342" w:rsidRDefault="00000342" w:rsidP="000003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проектирования предметных областей;</w:t>
      </w:r>
    </w:p>
    <w:p w:rsidR="00000342" w:rsidRPr="00000342" w:rsidRDefault="00000342" w:rsidP="00000342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наведения мостов.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Метод проектирования предметных областей заключается в выделении предметной области системы с точки зрения пользователя.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Предметная область это отдельный реальный, гипотетический или абстрактный мир, населенный отчетливым набором объектов, которые ведут себя в соответствии с характерными для домена правилами и линиями поведения.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Метод наведения мостов заключается в том, что одна предметная область использует механизмы и возможности, обеспечиваемые другой предметной областью. Мост между двумя предметными областями представляет собой набор 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предложений (с точки зрения пользователя) и набор требований (с точки зрения исполнителя).</w:t>
      </w:r>
    </w:p>
    <w:p w:rsidR="00000342" w:rsidRPr="00000342" w:rsidRDefault="00000342" w:rsidP="00000342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Проектирование подсистем (проектирование «в малом»)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Структурная методология включает следующие основные методы проектирования модулей: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«сущность связь»;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структурные карты;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деятельности;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диаграммы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Варнье-Орра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переходов состояний;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блок-схемы;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схемы экранов;</w:t>
      </w:r>
    </w:p>
    <w:p w:rsidR="00000342" w:rsidRPr="00000342" w:rsidRDefault="00000342" w:rsidP="00000342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псевдокод.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Объектно-ориентированная методология включает следующие основные методы проектирования модулей:</w:t>
      </w:r>
    </w:p>
    <w:p w:rsidR="00000342" w:rsidRPr="00000342" w:rsidRDefault="00000342" w:rsidP="000003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кооперации;</w:t>
      </w:r>
    </w:p>
    <w:p w:rsidR="00000342" w:rsidRPr="00000342" w:rsidRDefault="00000342" w:rsidP="00000342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компонентов;</w:t>
      </w:r>
    </w:p>
    <w:p w:rsidR="00000342" w:rsidRPr="00000342" w:rsidRDefault="00000342" w:rsidP="00000342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развертывания.</w:t>
      </w:r>
    </w:p>
    <w:p w:rsidR="00000342" w:rsidRPr="00000342" w:rsidRDefault="00000342" w:rsidP="00000342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Метод анализа и построения спецификаций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Структурная методология включает следующие методы ведения структурного анализа: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потоков данных;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потоков управления;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таблицы решений;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сети Петри;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зависимости;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декомпозиции;</w:t>
      </w:r>
    </w:p>
    <w:p w:rsidR="00000342" w:rsidRPr="00000342" w:rsidRDefault="00000342" w:rsidP="00000342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функционального моделирования.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Объектно-ориентированная методология включает следующие методы ведения объектно-ориентированного анализа:</w:t>
      </w:r>
    </w:p>
    <w:p w:rsidR="00000342" w:rsidRPr="00000342" w:rsidRDefault="00000342" w:rsidP="000003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КОК-карты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(класс ответственность кооперация);</w:t>
      </w:r>
    </w:p>
    <w:p w:rsidR="00000342" w:rsidRPr="00000342" w:rsidRDefault="00000342" w:rsidP="00000342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вариантов использования; диаграммы классов;</w:t>
      </w:r>
    </w:p>
    <w:p w:rsidR="00000342" w:rsidRPr="00000342" w:rsidRDefault="00000342" w:rsidP="00000342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состояний;</w:t>
      </w:r>
    </w:p>
    <w:p w:rsidR="00000342" w:rsidRPr="00000342" w:rsidRDefault="00000342" w:rsidP="00000342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деятельности;</w:t>
      </w:r>
    </w:p>
    <w:p w:rsidR="00000342" w:rsidRPr="00000342" w:rsidRDefault="00000342" w:rsidP="00000342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диаграммы последовательности.</w:t>
      </w:r>
    </w:p>
    <w:p w:rsidR="00000342" w:rsidRDefault="00000342" w:rsidP="00000342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</w:p>
    <w:p w:rsidR="00000342" w:rsidRPr="00000342" w:rsidRDefault="00000342" w:rsidP="00000342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</w:pPr>
      <w:r w:rsidRPr="00000342">
        <w:rPr>
          <w:rFonts w:ascii="Segoe UI" w:eastAsia="Times New Roman" w:hAnsi="Segoe UI" w:cs="Segoe UI"/>
          <w:b/>
          <w:bCs/>
          <w:color w:val="24292F"/>
          <w:spacing w:val="0"/>
          <w:kern w:val="0"/>
          <w:szCs w:val="28"/>
          <w:lang w:eastAsia="ru-RU"/>
        </w:rPr>
        <w:t>Структурный подход к проектированию ИС</w:t>
      </w:r>
    </w:p>
    <w:p w:rsidR="00000342" w:rsidRPr="00000342" w:rsidRDefault="00000342" w:rsidP="0000034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Сущность структурного подхода к разработке ИС заключается в ее декомпозиции (разбиении) на автоматизируемые функции: система разбивается на функциональные подсистемы, которые, в свою очередь, делятся на подфункции, подразделяемые на задачи, и так далее. Процесс разбиения продолжается вплоть до конкретных процедур. При этом автоматизируемая система сохраняет целостное представление, в котором все составляющие компоненты взаимосвязаны. При разработке системы «снизу-вверх» от отдельных задач ко всей системе целостность теряется, возникают проблемы при информационной стыковке отдельных компонентов.</w:t>
      </w:r>
    </w:p>
    <w:p w:rsidR="00000342" w:rsidRDefault="00000342" w:rsidP="00000342">
      <w:pPr>
        <w:pStyle w:val="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28"/>
          <w:szCs w:val="28"/>
        </w:rPr>
      </w:pPr>
    </w:p>
    <w:p w:rsidR="00000342" w:rsidRPr="00000342" w:rsidRDefault="00000342" w:rsidP="00000342">
      <w:pPr>
        <w:pStyle w:val="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  <w:sz w:val="28"/>
          <w:szCs w:val="28"/>
        </w:rPr>
      </w:pPr>
      <w:r w:rsidRPr="00000342">
        <w:rPr>
          <w:rFonts w:ascii="Segoe UI" w:hAnsi="Segoe UI" w:cs="Segoe UI"/>
          <w:color w:val="24292F"/>
          <w:sz w:val="28"/>
          <w:szCs w:val="28"/>
        </w:rPr>
        <w:t>Назначение CASE-средств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Учитывая постоянный рост требований, сильно увеличивается сложность современных информационных систем. Можно выделить следующие особенности крупных существующих информационных систем: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сложность описания;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наличие совокупности тесно взаимодействующих компонентов;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отсутствие прямых аналогов, ограничивающее возможность использования каких-либо типовых проектных решений и прикладных систем;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необходимость интеграции существующих и вновь разрабатываемых приложений;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функционирование в неоднородной среде на нескольких аппаратных платформах;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разобщенность и разнородность отдельных групп разработчиков по уровню квалификации и сложившимся традициям использования тех или иных инструментальных средств;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существенная временная протяженность проекта разработки.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Создание всей требуемой проектной документации вручную является крайне сложной задачей, а редактирование созданного пакета документов влечёт за собой ещё большие трудности. В связи с этим, </w:t>
      </w:r>
      <w:proofErr w:type="spellStart"/>
      <w:r>
        <w:rPr>
          <w:rFonts w:ascii="Segoe UI" w:hAnsi="Segoe UI" w:cs="Segoe UI"/>
          <w:color w:val="24292F"/>
        </w:rPr>
        <w:t>можновыявить</w:t>
      </w:r>
      <w:proofErr w:type="spellEnd"/>
      <w:r>
        <w:rPr>
          <w:rFonts w:ascii="Segoe UI" w:hAnsi="Segoe UI" w:cs="Segoe UI"/>
          <w:color w:val="24292F"/>
        </w:rPr>
        <w:t xml:space="preserve"> следующие проблемы, возникающие при ручном процессе проектирования: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неадекватная спецификация требований;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неспособность обнаруживать ошибки в проектных решениях;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низкое качество документации, снижающее эксплуатационные качества;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затяжной цикл и неудовлетворительные результаты тестирования.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Существенное подспорье в решении подобных проблем вносят CASE-средства (</w:t>
      </w:r>
      <w:proofErr w:type="spellStart"/>
      <w:r>
        <w:rPr>
          <w:rFonts w:ascii="Segoe UI" w:hAnsi="Segoe UI" w:cs="Segoe UI"/>
          <w:color w:val="24292F"/>
        </w:rPr>
        <w:t>Computer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Aided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Software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Engineering</w:t>
      </w:r>
      <w:proofErr w:type="spellEnd"/>
      <w:r>
        <w:rPr>
          <w:rFonts w:ascii="Segoe UI" w:hAnsi="Segoe UI" w:cs="Segoe UI"/>
          <w:color w:val="24292F"/>
        </w:rPr>
        <w:t>). Под CASE-средством понимается специальное программное обеспечение, поддерживающее процессы создания и сопровождения информационных систем: анализ и формулировка требований, проектирование прикладного программного обеспечения и баз данных, генерация кода, тестирование, документирование, обеспечение качества, конфигурационное управление и управление проектом, а также другие процессы.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 xml:space="preserve">Полная среда разработки информационной системы </w:t>
      </w:r>
      <w:proofErr w:type="gramStart"/>
      <w:r>
        <w:rPr>
          <w:rFonts w:ascii="Segoe UI" w:hAnsi="Segoe UI" w:cs="Segoe UI"/>
          <w:color w:val="24292F"/>
        </w:rPr>
        <w:t>представляет из себя</w:t>
      </w:r>
      <w:proofErr w:type="gramEnd"/>
      <w:r>
        <w:rPr>
          <w:rFonts w:ascii="Segoe UI" w:hAnsi="Segoe UI" w:cs="Segoe UI"/>
          <w:color w:val="24292F"/>
        </w:rPr>
        <w:t xml:space="preserve"> совокупность используемых CASE-средств, системного программного обеспечения и технических средств.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Следует заметить, что CASE-средства далеко не всегда сразу же дают ожидаемый эффект, кроме того, реальный бюджет, требуемый на внедрение, в большинстве случаев существенно превышает их </w:t>
      </w:r>
      <w:proofErr w:type="spellStart"/>
      <w:r>
        <w:rPr>
          <w:rFonts w:ascii="Segoe UI" w:hAnsi="Segoe UI" w:cs="Segoe UI"/>
          <w:color w:val="24292F"/>
        </w:rPr>
        <w:t>рыно</w:t>
      </w:r>
      <w:proofErr w:type="gramStart"/>
      <w:r>
        <w:rPr>
          <w:rFonts w:ascii="Segoe UI" w:hAnsi="Segoe UI" w:cs="Segoe UI"/>
          <w:color w:val="24292F"/>
        </w:rPr>
        <w:t>ч</w:t>
      </w:r>
      <w:proofErr w:type="spellEnd"/>
      <w:r>
        <w:rPr>
          <w:rFonts w:ascii="Segoe UI" w:hAnsi="Segoe UI" w:cs="Segoe UI"/>
          <w:color w:val="24292F"/>
        </w:rPr>
        <w:t>-</w:t>
      </w:r>
      <w:proofErr w:type="gram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ную</w:t>
      </w:r>
      <w:proofErr w:type="spellEnd"/>
      <w:r>
        <w:rPr>
          <w:rFonts w:ascii="Segoe UI" w:hAnsi="Segoe UI" w:cs="Segoe UI"/>
          <w:color w:val="24292F"/>
        </w:rPr>
        <w:t xml:space="preserve"> стоимость.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Чтобы увеличить шансы на успешное внедрение CASE-средства, необходимо руководствоваться тремя аспектами: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технология (ограниченность существующих возможностей);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культура (готовность к внедрению новых процессов);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управление (четкое руководство важными этапами и процессами внедрения).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Недостаток внимания к какому-либо аспекту может негативным образов сказаться на успешности процесса внедрения, даже, несмотря на скрупулёзное следование существующим рекомендациям.</w:t>
      </w:r>
    </w:p>
    <w:p w:rsidR="00000342" w:rsidRDefault="00000342" w:rsidP="00000342">
      <w:pPr>
        <w:pStyle w:val="2"/>
        <w:shd w:val="clear" w:color="auto" w:fill="FFFFFF"/>
        <w:spacing w:before="36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Состав и классификация CASE-средств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CASE-средства обладают мощными графическими средствами описания и документирования информационных систем, обеспечивают управляемость процесса разработки, за счёт интеграции некоторых компонент, а также позволяют централизованно хранить данные при помощи </w:t>
      </w:r>
      <w:proofErr w:type="spellStart"/>
      <w:r>
        <w:rPr>
          <w:rFonts w:ascii="Segoe UI" w:hAnsi="Segoe UI" w:cs="Segoe UI"/>
          <w:color w:val="24292F"/>
        </w:rPr>
        <w:t>репозиториев</w:t>
      </w:r>
      <w:proofErr w:type="spellEnd"/>
      <w:r>
        <w:rPr>
          <w:rFonts w:ascii="Segoe UI" w:hAnsi="Segoe UI" w:cs="Segoe UI"/>
          <w:color w:val="24292F"/>
        </w:rPr>
        <w:t>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proofErr w:type="gramStart"/>
      <w:r>
        <w:rPr>
          <w:rFonts w:ascii="Segoe UI" w:hAnsi="Segoe UI" w:cs="Segoe UI"/>
          <w:color w:val="24292F"/>
        </w:rPr>
        <w:t>Конкретная</w:t>
      </w:r>
      <w:proofErr w:type="gramEnd"/>
      <w:r>
        <w:rPr>
          <w:rFonts w:ascii="Segoe UI" w:hAnsi="Segoe UI" w:cs="Segoe UI"/>
          <w:color w:val="24292F"/>
        </w:rPr>
        <w:t xml:space="preserve"> CASE-технология включает в себя методологию проектирования информационных систем и инструментальные средства анализа и моделирования.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Архитектуру CASE-средства можно представить в виде совокупности шести компонентов: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proofErr w:type="spellStart"/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Репозиторий</w:t>
      </w:r>
      <w:proofErr w:type="spellEnd"/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 xml:space="preserve"> данных.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Графический редактор диаграмм.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Верификатор диаграмм.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Генератор отчётов.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Администратор проекта.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Сервис.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 w:rsidRPr="00000342">
        <w:rPr>
          <w:rFonts w:ascii="Segoe UI" w:hAnsi="Segoe UI" w:cs="Segoe UI"/>
          <w:color w:val="24292F"/>
        </w:rPr>
        <w:lastRenderedPageBreak/>
        <w:drawing>
          <wp:inline distT="0" distB="0" distL="0" distR="0" wp14:anchorId="7AC1D409" wp14:editId="45DC5454">
            <wp:extent cx="5940425" cy="35860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proofErr w:type="spellStart"/>
      <w:r>
        <w:rPr>
          <w:rFonts w:ascii="Segoe UI" w:hAnsi="Segoe UI" w:cs="Segoe UI"/>
          <w:color w:val="24292F"/>
        </w:rPr>
        <w:t>Репозиторий</w:t>
      </w:r>
      <w:proofErr w:type="spellEnd"/>
      <w:r>
        <w:rPr>
          <w:rFonts w:ascii="Segoe UI" w:hAnsi="Segoe UI" w:cs="Segoe UI"/>
          <w:color w:val="24292F"/>
        </w:rPr>
        <w:t xml:space="preserve"> представляет собой базу данных, предназначенную для обмена информацией между компонентами CASE-средства, а также для хранения сведений обо всех объектах проектируемой системы.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Графический редактор диаграмм предназначен для отображения проектируемой информационной системы в заданной графической нотации. Позволяет выполнять следующие действия: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создавать элементы диаграмм и взаимосвязи между ними;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задавать описания элементов диаграмм;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задавать описания связей между элементами диаграмм;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редактировать элементы диаграмм, их взаимосвязи и описания.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Верификатор диаграмм выявляет несоответствия разрабатываемой диаграммы методологии проектирование. Среди его функций можно выделить: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мониторинг правильности построения диаграмм;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диагностику и выдачу сообщений об ошибках;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выделение на диаграмме ошибочных элементов.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Генератор отчётов позволяет получать информацию о состоянии проекта в виде, формируемых по различным признакам, отчётов.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Администратор проекта представляет собой набор инструментальных средств, необходимых для выполнения административных функций. К таким функциям относятся: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инициализация проекта;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задания начальных параметров проекта;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назначения и изменения прав доступа к элементам проекта;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мониторинга выполнения работ.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 xml:space="preserve">Компонент сервиса представляет собой набор системных утилит для обслуживания </w:t>
      </w:r>
      <w:proofErr w:type="spellStart"/>
      <w:r>
        <w:rPr>
          <w:rFonts w:ascii="Segoe UI" w:hAnsi="Segoe UI" w:cs="Segoe UI"/>
          <w:color w:val="24292F"/>
        </w:rPr>
        <w:t>репозитория</w:t>
      </w:r>
      <w:proofErr w:type="spellEnd"/>
      <w:r>
        <w:rPr>
          <w:rFonts w:ascii="Segoe UI" w:hAnsi="Segoe UI" w:cs="Segoe UI"/>
          <w:color w:val="24292F"/>
        </w:rPr>
        <w:t xml:space="preserve"> данных. Используется для архивации данных, восстановления данных и создания нового </w:t>
      </w:r>
      <w:proofErr w:type="spellStart"/>
      <w:r>
        <w:rPr>
          <w:rFonts w:ascii="Segoe UI" w:hAnsi="Segoe UI" w:cs="Segoe UI"/>
          <w:color w:val="24292F"/>
        </w:rPr>
        <w:t>репозитория</w:t>
      </w:r>
      <w:proofErr w:type="spellEnd"/>
      <w:r>
        <w:rPr>
          <w:rFonts w:ascii="Segoe UI" w:hAnsi="Segoe UI" w:cs="Segoe UI"/>
          <w:color w:val="24292F"/>
        </w:rPr>
        <w:t>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зависимости от области применения различные CASE-средства могут содержать следующие компоненты: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proofErr w:type="spellStart"/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репозиторий</w:t>
      </w:r>
      <w:proofErr w:type="spellEnd"/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графические средства анализа и проектирования;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разработки приложений;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конфигурационного управления;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документирования;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тестирования;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управления проектом;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реинжиниринга.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Типовая классификация CASE-средств по большей части соотносится с их компонентным составом.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Можно разделить CASE-средства на следующие типы: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моделирования предметной области (построения и анализа моделей предметной области);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анализа и проектирования (создание спецификации компонентов, интерфейсов системы, архитектуры системы, алгоритмов и структур данных);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проектирования баз данных (построение моделей данных);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разработки приложений;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реинжиниринга (анализ программных кодов и схем баз данных и формирование на их основе различных моделей и проектных спецификаций);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планирования и управления;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конфигурационного управления;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тестирования;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средства документирования.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исторической ретроспективе можно выделить CASE-системы двух поколений:</w:t>
      </w:r>
    </w:p>
    <w:p w:rsidR="00000342" w:rsidRDefault="00000342" w:rsidP="00000342">
      <w:pPr>
        <w:pStyle w:val="a3"/>
        <w:numPr>
          <w:ilvl w:val="0"/>
          <w:numId w:val="27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Первое поколение. Обеспечивает: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поддержку графических моделей;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проектирование спецификаций;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проектирование экранных редакторов;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проектирование словарей данных.</w:t>
      </w:r>
    </w:p>
    <w:p w:rsidR="00000342" w:rsidRDefault="00000342" w:rsidP="00000342">
      <w:pPr>
        <w:pStyle w:val="a3"/>
        <w:numPr>
          <w:ilvl w:val="0"/>
          <w:numId w:val="27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Второе поколение. Обеспечивает: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поддержку графических представлений требований к системе;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поддержку представлений спецификаций проектирования;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поддержку контроля и анализа системной информации,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информационную поддержку управления проектированием,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построение прототипов и моделей системы;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 xml:space="preserve">автоматическую </w:t>
      </w:r>
      <w:proofErr w:type="spellStart"/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кодогенерацию</w:t>
      </w:r>
      <w:proofErr w:type="spellEnd"/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поддержку тестирования, верификации и анализа сгенерированных программ;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генерацию документов по проекту;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контроль на соответствие стандартам по всем этапам ЖЦ;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>Большая часть подобных технологий основывается на методологиях структурного и объектно-ориентированного анализа. Представление полученных данных производится при помощи текстов и диаграмм.</w:t>
      </w:r>
    </w:p>
    <w:p w:rsidR="00000342" w:rsidRDefault="00000342" w:rsidP="00000342">
      <w:pPr>
        <w:pStyle w:val="3"/>
        <w:shd w:val="clear" w:color="auto" w:fill="FFFFFF"/>
        <w:spacing w:before="360" w:after="24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>Технология внедрения CASE-средств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Процесс внедрения CASE-средств состоит из следующих этапов: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Определение потребностей в CASE-средствах.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Оценка и выбор CASE-средств.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Выполнение пилотного проекта.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Практическое внедрение CASE-средств.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На первом этапе необходимо выявить области деятельности компании, в которых обоснованно применение CASE-средств. По завершению данного этапа формируется документ описывающий стратегию внедрения.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успешного завершения этапа определения потребностей необходимо: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проанализировать возможности организации в отношении её технической базы, персонала и используемого программного обеспечения;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определить организационные потребности на основании проблем и целей;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проанализировать рынок CASE-средств на предмет соответствия желаемым требованиям;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определить критерии успешного внедрения CASE-средства и их оптимальные значения;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разработать стратегию внедрения.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Стратегия внедрения включает следующие составляющие: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организационные потребности;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базовые метрики, необходимые для последующего сравнения результатов;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критерии успешного внедрения;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подразделения организации, в которых должно выполняться внедрение CASE-средств;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влияние, оказываемое на другие подразделения организации;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стратегии и планы оценки и выбора, пилотного проектирования и перехода к полномасштабному внедрению;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основные факторы риска;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ориентировочный уровень расходов и источники финансирования процесса внедрения CASE-средств;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Cs/>
          <w:spacing w:val="0"/>
          <w:kern w:val="0"/>
          <w:sz w:val="24"/>
          <w:szCs w:val="24"/>
          <w:lang w:eastAsia="ru-RU"/>
        </w:rPr>
        <w:t>ключевой персонал и другие ресурсы.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Вторым этапом является процесс оценки функциональности и качества CASE-средств, для последующего выбора </w:t>
      </w:r>
      <w:proofErr w:type="gramStart"/>
      <w:r>
        <w:rPr>
          <w:rFonts w:ascii="Segoe UI" w:hAnsi="Segoe UI" w:cs="Segoe UI"/>
          <w:color w:val="24292F"/>
        </w:rPr>
        <w:t>подходящих</w:t>
      </w:r>
      <w:proofErr w:type="gramEnd"/>
      <w:r>
        <w:rPr>
          <w:rFonts w:ascii="Segoe UI" w:hAnsi="Segoe UI" w:cs="Segoe UI"/>
          <w:color w:val="24292F"/>
        </w:rPr>
        <w:t>. Оценка выполняется в соответствии с конкретными критериями, ее результаты включают как объективные, так и субъективные данные по каждому средству.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Процесс оценки включает следующие действия: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формулировка задачи оценки, включая информацию о цели и масштабах оценки;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определение критериев оценки, вытекающее из определения задачи;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lastRenderedPageBreak/>
        <w:t>определение средств-кандидатов путем просмотра списка кандидатов и анализа информации о конкретных средствах;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оценка средств-кандидатов в контексте выбранных критериев;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подготовка отчета по результатам оценки.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Процесс выбора тесно взаимосвязан с процессом оценки и включает следующие действия: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формулировка задач выбора, включая цели, предположения и ограничения;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определение и ранжирование критериев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определение средств-кандидатов и сбор необходимых данных;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выполнение необходимого количества итераций с тем, чтобы выбрать (или отвергнуть) средства, имеющие сходные показатели;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подготовка отчета по результатам выбора.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Каждый критерий, используемый в процессах оценки и выбора, должен быть выбран и адаптирован экспертом с учетом особенностей конкретного процесса. Выбор и уточнение набора используемых критериев является критическим шагом данного процесса.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Можно выделить следующие группы критериев: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Функциональность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: обеспечение требуемых функций, наличие дополнительных нерегламентированных функций, возможность расширения набора функций.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Надежность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: обеспечение целостности данных и их резервирование, защита от несанкционированного доступа, обнаружение ошибок, анализ отказов.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Простота использования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: удобство пользовательского интерфейса, локализация, простота освоения, качество документации, доступность и качество учебных материалов, требования к уровню знаний;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унифицированность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пользовательского интерфейса, онлайновые подсказки, понятность и полезность диагностических сообщений, допустимое время реакции на действия пользователя, простота установки и обновления версий.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Эффективность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: требования к техническим средствам, эффективность выполнения CASE-средством своих функций в зависимости от интенсивности работы пользователя, производительность.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Сопровождаемость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: уровень поддержки со стороны поставщика, простота освоения отличий новых версий от существующих, совместимость обновлений,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сопровождаемость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конечного продукта.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Переносимость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: совместимость с различными версиями операционных систем, переносимость данных между различными версиями CASE-средства, соответствие стандартам переносимости.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eastAsia="Times New Roman"/>
          <w:b/>
          <w:bCs/>
          <w:spacing w:val="0"/>
          <w:kern w:val="0"/>
          <w:sz w:val="24"/>
          <w:szCs w:val="24"/>
          <w:lang w:eastAsia="ru-RU"/>
        </w:rPr>
        <w:t>Общие критерии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: затраты на CASE-средство, оценочный эффект от внедрения CASE-средства, общие показатели возможностей дистрибьютора, лицензионная политика, экспортные ограничения; общая информация о продукте, поддержка поставщика и качество предоставляемых услуг.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Перед полномасштабным внедрением выбранного CASE-средства в организации выполняется пилотный проект, целью которого является экспериментальная </w:t>
      </w:r>
      <w:r>
        <w:rPr>
          <w:rFonts w:ascii="Segoe UI" w:hAnsi="Segoe UI" w:cs="Segoe UI"/>
          <w:color w:val="24292F"/>
        </w:rPr>
        <w:lastRenderedPageBreak/>
        <w:t>проверка правильности решений, принятых на предыдущих этапах, и подготовка к внедрению.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Пилотный проект представляет собой реальное использование CASE-средства в предназначенной для этого среде и обычно подразумевает более широкий масштаб использования CASE-средства по отношению к тому, который </w:t>
      </w:r>
      <w:proofErr w:type="gramStart"/>
      <w:r>
        <w:rPr>
          <w:rFonts w:ascii="Segoe UI" w:hAnsi="Segoe UI" w:cs="Segoe UI"/>
          <w:color w:val="24292F"/>
        </w:rPr>
        <w:t>был</w:t>
      </w:r>
      <w:proofErr w:type="gramEnd"/>
      <w:r>
        <w:rPr>
          <w:rFonts w:ascii="Segoe UI" w:hAnsi="Segoe UI" w:cs="Segoe UI"/>
          <w:color w:val="24292F"/>
        </w:rPr>
        <w:t xml:space="preserve"> достигнут во время оценки. Пилотный проект должен обладать многими из характеристик реальных проектов, для которых предназначено данное средство. Целями пилотного проекта являются: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подтверждение достоверности результатов оценки и выбора;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определение годности CASE-средства для использования в организации и область его применения;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сбор информации, необходимой для разработки плана практического внедрения;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приобретение собственного опыта использования CASE-средств.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Важной функцией пилотного проекта является принятие решения относительно приобретения или отказа от использования CASE-средства.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Первоначальное использование </w:t>
      </w:r>
      <w:proofErr w:type="gramStart"/>
      <w:r>
        <w:rPr>
          <w:rFonts w:ascii="Segoe UI" w:hAnsi="Segoe UI" w:cs="Segoe UI"/>
          <w:color w:val="24292F"/>
        </w:rPr>
        <w:t>новой</w:t>
      </w:r>
      <w:proofErr w:type="gramEnd"/>
      <w:r>
        <w:rPr>
          <w:rFonts w:ascii="Segoe UI" w:hAnsi="Segoe UI" w:cs="Segoe UI"/>
          <w:color w:val="24292F"/>
        </w:rPr>
        <w:t xml:space="preserve"> CASE-технологии в пилотном проекте должно тщательно планироваться и контролироваться.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Пилотный прое</w:t>
      </w:r>
      <w:proofErr w:type="gramStart"/>
      <w:r>
        <w:rPr>
          <w:rFonts w:ascii="Segoe UI" w:hAnsi="Segoe UI" w:cs="Segoe UI"/>
          <w:color w:val="24292F"/>
        </w:rPr>
        <w:t>кт вкл</w:t>
      </w:r>
      <w:proofErr w:type="gramEnd"/>
      <w:r>
        <w:rPr>
          <w:rFonts w:ascii="Segoe UI" w:hAnsi="Segoe UI" w:cs="Segoe UI"/>
          <w:color w:val="24292F"/>
        </w:rPr>
        <w:t>ючает в себя следующие шаги: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планирование пилотного проекта;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выполнение пилотного проекта;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оценка пилотного проекта.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Планирование пилотного проекта должно вписываться в обычный процесс планирования проектов в организации. План должен содержать следующую информацию: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цели, задачи и критерии оценки;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персонал;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процедуры и соглашения;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обучение;</w:t>
      </w:r>
    </w:p>
    <w:p w:rsidR="00000342" w:rsidRPr="00000342" w:rsidRDefault="00000342" w:rsidP="0000034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график и ресурсы.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Ожидаемые результаты пилотного проекта должны быть четко определены. Степень соответствия этим результатам представляет собой основу для последующей оценки проекта.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Специалисты, выбранные для участия в пилотном проекте, должны иметь соответствующий авторитет и влияние и быть сторонниками новой технологии.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Группа должна включать как технических специалистов, так и менеджеров, заинтересованных в новой технологии и разбирающихся в ее использовании.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Необходимо четко определить процедуры и соглашения, регулирующие использование CASE-средств.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lastRenderedPageBreak/>
        <w:t>Должны быть определены виды и объем обучения, необходимого для выполнения пилотного проекта. При планировании обучения нужно иметь в виду три вида потребностей: технические, управленческие и мотивационные.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Должен быть разработан график, включающий ресурсы и сроки (этапы) проведения работ. Ресурсы включают персонал, технические средства, программное обеспечение и финансирование.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После завершения пилотного проекта его результаты необходимо оценить и сопоставить их с изначальными потребностями организации, критериями успешного внедрения CASE-средств, базовыми метриками и критериями успеха пилотного проекта.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процессе оценки организация должна определить свою позицию по следующим трем вопросам: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Целесообразно ли внедрять CASE-средство?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Какие конкретные особенности пилотного проекта привели к его успеху (или неудаче)?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Какие проекты или подразделения в организации могли бы получить выгоду от использования средств?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Возможны четыре категории результатов и соответствующих действий: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пилотный проект потерпел неудачу, и его анализ показал неадекватность ожиданий организации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пилотный проект потерпел неудачу, и его анализ показал, что выбранные средства не удовлетворяют потребности организации (пересмотреть подход к выбору CASE-средств);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пилотный проект потерпел неудачу, и его анализ показал наличие таких проблем, как неудачный выбор пилотного проекта, неадекватное обучение и недостаток ресурсов (пересмотр процесса внедрения с возможностью начать новый пилотный проект);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пилотный проект завершился успешно, и признано целесообразным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внедрять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CASE-средства в некоторых подразделениях или, возможно, во всей организации в целом (определение подходящего масштаба внедрения).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Возможным решением должно быть одно из следующих: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внедрить средство. В этом случае рекомендуемый масштаб внедрения должен быть определен в терминах структурных подразделений и предметной области;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выполнить дополнительный пилотный проект (если остались конкретные неразрешенные вопросы относительно внедрения);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отказаться от средства (причины отказа от конкретного средства должны быть определены в терминах потребностей организации или критериев, которые остались неудовлетворенными);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отказаться от использования CASE-средств вообще (организация либо не готова к внедрению CASE-средств, либо автоматизация данного аспекта </w:t>
      </w: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процесса создания и сопровождения программного обеспечения не дает никакого эффекта для организации).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Результатом пилотного проекта является документ, в котором обсуждаются его результаты и детализируются решения по внедрению.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Процесс перехода к практическому использованию CASE-средств начинается с разработки и последующей реализации плана перехода.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План перехода должен включать следующее: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информацию относительно целей, критериев оценки, графика и возможных рисков, связанных с реализацией плана;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информацию относительно приобретения, установки и настройки CASE-средств;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информацию относительно интеграции каждого средства с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существующими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 включая как интеграцию CASE-средств друг с другом, так и их интеграцию в процессы разработки и эксплуатации программного обеспечения, существующие в организации;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ожидаемые потребности в обучении и ресурсы, используемые в течение и после завершения процесса перехода;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определение стандартных процедур использования средств.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Реализация плана перехода требует постоянного мониторинга использования CASE-средств, обеспечения текущей поддержки, сопровождения и обновления средств по мере необходимости.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Для доказательства эффективности CASE-средств и их возможностей улучшать продуктивность необходимы такие базовые метрические данные, как: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использованное время,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время, выделенное персонально для конкретных специалистов,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размер, сложность и качество </w:t>
      </w:r>
      <w:proofErr w:type="gram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,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удобство сопровождения.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Метрическая оценка должна начинаться с реальной оценки текущего состояния среды еще до начала внедрения CASE-средств и поддерживать процедуры постоянного накопления данных.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Результатом данного этапа является внедрение CASE-средств в повседневную практику организации, при этом больше не требуется какого-либо специального планирования. Кроме того, поддержка CASE-средств включается в план текущей поддержки </w:t>
      </w:r>
      <w:proofErr w:type="gramStart"/>
      <w:r>
        <w:rPr>
          <w:rFonts w:ascii="Segoe UI" w:hAnsi="Segoe UI" w:cs="Segoe UI"/>
          <w:color w:val="24292F"/>
        </w:rPr>
        <w:t>ПО</w:t>
      </w:r>
      <w:proofErr w:type="gramEnd"/>
      <w:r>
        <w:rPr>
          <w:rFonts w:ascii="Segoe UI" w:hAnsi="Segoe UI" w:cs="Segoe UI"/>
          <w:color w:val="24292F"/>
        </w:rPr>
        <w:t xml:space="preserve"> в данной организации.</w:t>
      </w:r>
    </w:p>
    <w:p w:rsidR="00000342" w:rsidRDefault="00000342" w:rsidP="00000342">
      <w:pPr>
        <w:pStyle w:val="3"/>
        <w:shd w:val="clear" w:color="auto" w:fill="FFFFFF"/>
        <w:spacing w:before="360" w:after="240"/>
        <w:rPr>
          <w:rFonts w:ascii="Segoe UI" w:hAnsi="Segoe UI" w:cs="Segoe UI"/>
          <w:color w:val="24292F"/>
          <w:sz w:val="30"/>
          <w:szCs w:val="30"/>
        </w:rPr>
      </w:pPr>
      <w:r>
        <w:rPr>
          <w:rFonts w:ascii="Segoe UI" w:hAnsi="Segoe UI" w:cs="Segoe UI"/>
          <w:color w:val="24292F"/>
          <w:sz w:val="30"/>
          <w:szCs w:val="30"/>
        </w:rPr>
        <w:t xml:space="preserve">Примеры </w:t>
      </w:r>
      <w:proofErr w:type="gramStart"/>
      <w:r>
        <w:rPr>
          <w:rFonts w:ascii="Segoe UI" w:hAnsi="Segoe UI" w:cs="Segoe UI"/>
          <w:color w:val="24292F"/>
          <w:sz w:val="30"/>
          <w:szCs w:val="30"/>
        </w:rPr>
        <w:t>существующих</w:t>
      </w:r>
      <w:proofErr w:type="gramEnd"/>
      <w:r>
        <w:rPr>
          <w:rFonts w:ascii="Segoe UI" w:hAnsi="Segoe UI" w:cs="Segoe UI"/>
          <w:color w:val="24292F"/>
          <w:sz w:val="30"/>
          <w:szCs w:val="30"/>
        </w:rPr>
        <w:t xml:space="preserve"> CASE-средств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 качестве примеров, можно выделить </w:t>
      </w:r>
      <w:proofErr w:type="gramStart"/>
      <w:r>
        <w:rPr>
          <w:rFonts w:ascii="Segoe UI" w:hAnsi="Segoe UI" w:cs="Segoe UI"/>
          <w:color w:val="24292F"/>
        </w:rPr>
        <w:t>следующие</w:t>
      </w:r>
      <w:proofErr w:type="gramEnd"/>
      <w:r>
        <w:rPr>
          <w:rFonts w:ascii="Segoe UI" w:hAnsi="Segoe UI" w:cs="Segoe UI"/>
          <w:color w:val="24292F"/>
        </w:rPr>
        <w:t xml:space="preserve"> популярные CASE-средства: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CA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ERwin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Process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Modeler</w:t>
      </w:r>
      <w:proofErr w:type="spellEnd"/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CA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ERwin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Modeler</w:t>
      </w:r>
      <w:proofErr w:type="spellEnd"/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Visual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Paradigm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for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UML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 xml:space="preserve">ARIS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Express</w:t>
      </w:r>
      <w:proofErr w:type="spellEnd"/>
    </w:p>
    <w:p w:rsidR="00000342" w:rsidRPr="00000342" w:rsidRDefault="00000342" w:rsidP="00000342">
      <w:pPr>
        <w:pStyle w:val="4"/>
        <w:shd w:val="clear" w:color="auto" w:fill="FFFFFF"/>
        <w:spacing w:before="360" w:after="240"/>
        <w:rPr>
          <w:rFonts w:ascii="Segoe UI" w:hAnsi="Segoe UI" w:cs="Segoe UI"/>
          <w:color w:val="24292F"/>
          <w:lang w:val="en-US"/>
        </w:rPr>
      </w:pPr>
      <w:r w:rsidRPr="00000342">
        <w:rPr>
          <w:rFonts w:ascii="Segoe UI" w:hAnsi="Segoe UI" w:cs="Segoe UI"/>
          <w:color w:val="24292F"/>
          <w:lang w:val="en-US"/>
        </w:rPr>
        <w:t xml:space="preserve">CA </w:t>
      </w:r>
      <w:proofErr w:type="spellStart"/>
      <w:r w:rsidRPr="00000342">
        <w:rPr>
          <w:rFonts w:ascii="Segoe UI" w:hAnsi="Segoe UI" w:cs="Segoe UI"/>
          <w:color w:val="24292F"/>
          <w:lang w:val="en-US"/>
        </w:rPr>
        <w:t>ERwin</w:t>
      </w:r>
      <w:proofErr w:type="spellEnd"/>
      <w:r w:rsidRPr="00000342">
        <w:rPr>
          <w:rFonts w:ascii="Segoe UI" w:hAnsi="Segoe UI" w:cs="Segoe UI"/>
          <w:color w:val="24292F"/>
          <w:lang w:val="en-US"/>
        </w:rPr>
        <w:t xml:space="preserve"> Process Modeler (</w:t>
      </w:r>
      <w:r>
        <w:rPr>
          <w:rFonts w:ascii="Segoe UI" w:hAnsi="Segoe UI" w:cs="Segoe UI"/>
          <w:color w:val="24292F"/>
        </w:rPr>
        <w:t>ранее</w:t>
      </w:r>
      <w:r w:rsidRPr="00000342">
        <w:rPr>
          <w:rFonts w:ascii="Segoe UI" w:hAnsi="Segoe UI" w:cs="Segoe UI"/>
          <w:color w:val="24292F"/>
          <w:lang w:val="en-US"/>
        </w:rPr>
        <w:t xml:space="preserve"> </w:t>
      </w:r>
      <w:proofErr w:type="spellStart"/>
      <w:r w:rsidRPr="00000342">
        <w:rPr>
          <w:rFonts w:ascii="Segoe UI" w:hAnsi="Segoe UI" w:cs="Segoe UI"/>
          <w:color w:val="24292F"/>
          <w:lang w:val="en-US"/>
        </w:rPr>
        <w:t>BPwin</w:t>
      </w:r>
      <w:proofErr w:type="spellEnd"/>
      <w:r w:rsidRPr="00000342">
        <w:rPr>
          <w:rFonts w:ascii="Segoe UI" w:hAnsi="Segoe UI" w:cs="Segoe UI"/>
          <w:color w:val="24292F"/>
          <w:lang w:val="en-US"/>
        </w:rPr>
        <w:t>)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Является инструментом позволяющим моделировать, анализировать, документировать и оптимизировать бизнес-процессы. Данный продукт поддерживает такие нотации как: IDEF-0, IDEF0, IDEF3, DFD, FEO, </w:t>
      </w:r>
      <w:proofErr w:type="spellStart"/>
      <w:r>
        <w:rPr>
          <w:rFonts w:ascii="Segoe UI" w:hAnsi="Segoe UI" w:cs="Segoe UI"/>
          <w:color w:val="24292F"/>
        </w:rPr>
        <w:t>Swimlane</w:t>
      </w:r>
      <w:proofErr w:type="spellEnd"/>
      <w:r>
        <w:rPr>
          <w:rFonts w:ascii="Segoe UI" w:hAnsi="Segoe UI" w:cs="Segoe UI"/>
          <w:color w:val="24292F"/>
        </w:rPr>
        <w:t>.</w:t>
      </w:r>
    </w:p>
    <w:p w:rsidR="00000342" w:rsidRDefault="00000342" w:rsidP="00000342">
      <w:pPr>
        <w:pStyle w:val="4"/>
        <w:shd w:val="clear" w:color="auto" w:fill="FFFFFF"/>
        <w:spacing w:before="360" w:after="24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CA </w:t>
      </w:r>
      <w:proofErr w:type="spellStart"/>
      <w:r>
        <w:rPr>
          <w:rFonts w:ascii="Segoe UI" w:hAnsi="Segoe UI" w:cs="Segoe UI"/>
          <w:color w:val="24292F"/>
        </w:rPr>
        <w:t>ERwin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Data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Modeling</w:t>
      </w:r>
      <w:proofErr w:type="spellEnd"/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представляет собой среду моделирования данных. CA </w:t>
      </w:r>
      <w:proofErr w:type="spellStart"/>
      <w:r>
        <w:rPr>
          <w:rFonts w:ascii="Segoe UI" w:hAnsi="Segoe UI" w:cs="Segoe UI"/>
          <w:color w:val="24292F"/>
        </w:rPr>
        <w:t>ERrwin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Data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Modeler</w:t>
      </w:r>
      <w:proofErr w:type="spellEnd"/>
      <w:r>
        <w:rPr>
          <w:rFonts w:ascii="Segoe UI" w:hAnsi="Segoe UI" w:cs="Segoe UI"/>
          <w:color w:val="24292F"/>
        </w:rPr>
        <w:t xml:space="preserve"> позволяет проектировать структуру баз данных в нотациях IDEF1x, IE и </w:t>
      </w:r>
      <w:proofErr w:type="spellStart"/>
      <w:r>
        <w:rPr>
          <w:rFonts w:ascii="Segoe UI" w:hAnsi="Segoe UI" w:cs="Segoe UI"/>
          <w:color w:val="24292F"/>
        </w:rPr>
        <w:t>Dimensional</w:t>
      </w:r>
      <w:proofErr w:type="spellEnd"/>
      <w:r>
        <w:rPr>
          <w:rFonts w:ascii="Segoe UI" w:hAnsi="Segoe UI" w:cs="Segoe UI"/>
          <w:color w:val="24292F"/>
        </w:rPr>
        <w:t>, генерировать SQL-код разработанной базы данных, осуществлять прямое и обратное проектирование, составлять различные отчёты.</w:t>
      </w:r>
    </w:p>
    <w:p w:rsidR="00000342" w:rsidRDefault="00000342" w:rsidP="00000342">
      <w:pPr>
        <w:pStyle w:val="4"/>
        <w:shd w:val="clear" w:color="auto" w:fill="FFFFFF"/>
        <w:spacing w:before="360" w:after="240"/>
        <w:rPr>
          <w:rFonts w:ascii="Segoe UI" w:hAnsi="Segoe UI" w:cs="Segoe UI"/>
          <w:color w:val="24292F"/>
        </w:rPr>
      </w:pPr>
      <w:proofErr w:type="spellStart"/>
      <w:r>
        <w:rPr>
          <w:rFonts w:ascii="Segoe UI" w:hAnsi="Segoe UI" w:cs="Segoe UI"/>
          <w:color w:val="24292F"/>
        </w:rPr>
        <w:t>Visual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Paradigm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for</w:t>
      </w:r>
      <w:proofErr w:type="spellEnd"/>
      <w:r>
        <w:rPr>
          <w:rFonts w:ascii="Segoe UI" w:hAnsi="Segoe UI" w:cs="Segoe UI"/>
          <w:color w:val="24292F"/>
        </w:rPr>
        <w:t xml:space="preserve"> UML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относится </w:t>
      </w:r>
      <w:proofErr w:type="gramStart"/>
      <w:r>
        <w:rPr>
          <w:rFonts w:ascii="Segoe UI" w:hAnsi="Segoe UI" w:cs="Segoe UI"/>
          <w:color w:val="24292F"/>
        </w:rPr>
        <w:t>к</w:t>
      </w:r>
      <w:proofErr w:type="gramEnd"/>
      <w:r>
        <w:rPr>
          <w:rFonts w:ascii="Segoe UI" w:hAnsi="Segoe UI" w:cs="Segoe UI"/>
          <w:color w:val="24292F"/>
        </w:rPr>
        <w:t xml:space="preserve"> профессиональным инструмента работы со стандартом UML. При помощи встроенного функционала данный пакет способен поддерживать весь рабочий цикл программы: анализ, ориентированный на объекты, дизайн, ориентированный на объекты, конструкция, тестирование и разработка.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Visual Paradigm for UML позволяет: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создавать UML диаграммы;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создавать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SysML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диаграммы;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создавать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SoaML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диаграммы;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проектировать корпоративные архитектуры, используя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фреймворки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проектировать структуру баз данных и генерировать SQL-код;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осуществлять прямое и обратное проектирование на множество языков программирования;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создание диаграмм бизнес-процессов BPMN;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создавать модели BPEL;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создавать базовые диаграммы.</w:t>
      </w:r>
    </w:p>
    <w:p w:rsidR="00000342" w:rsidRDefault="00000342" w:rsidP="00000342">
      <w:pPr>
        <w:pStyle w:val="4"/>
        <w:shd w:val="clear" w:color="auto" w:fill="FFFFFF"/>
        <w:spacing w:before="360" w:after="24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ARIS </w:t>
      </w:r>
      <w:proofErr w:type="spellStart"/>
      <w:r>
        <w:rPr>
          <w:rFonts w:ascii="Segoe UI" w:hAnsi="Segoe UI" w:cs="Segoe UI"/>
          <w:color w:val="24292F"/>
        </w:rPr>
        <w:t>Express</w:t>
      </w:r>
      <w:proofErr w:type="spellEnd"/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принадлежит к семейству средств моделирования ARIS (</w:t>
      </w:r>
      <w:proofErr w:type="spellStart"/>
      <w:r>
        <w:rPr>
          <w:rFonts w:ascii="Segoe UI" w:hAnsi="Segoe UI" w:cs="Segoe UI"/>
          <w:color w:val="24292F"/>
        </w:rPr>
        <w:t>ARchitecture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of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Integrated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Information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Systems</w:t>
      </w:r>
      <w:proofErr w:type="spellEnd"/>
      <w:r>
        <w:rPr>
          <w:rFonts w:ascii="Segoe UI" w:hAnsi="Segoe UI" w:cs="Segoe UI"/>
          <w:color w:val="24292F"/>
        </w:rPr>
        <w:t xml:space="preserve">) компании IDS </w:t>
      </w:r>
      <w:proofErr w:type="spellStart"/>
      <w:r>
        <w:rPr>
          <w:rFonts w:ascii="Segoe UI" w:hAnsi="Segoe UI" w:cs="Segoe UI"/>
          <w:color w:val="24292F"/>
        </w:rPr>
        <w:t>Scheer</w:t>
      </w:r>
      <w:proofErr w:type="spellEnd"/>
      <w:r>
        <w:rPr>
          <w:rFonts w:ascii="Segoe UI" w:hAnsi="Segoe UI" w:cs="Segoe UI"/>
          <w:color w:val="24292F"/>
        </w:rPr>
        <w:t xml:space="preserve">, которая является частью компании </w:t>
      </w:r>
      <w:proofErr w:type="spellStart"/>
      <w:r>
        <w:rPr>
          <w:rFonts w:ascii="Segoe UI" w:hAnsi="Segoe UI" w:cs="Segoe UI"/>
          <w:color w:val="24292F"/>
        </w:rPr>
        <w:t>Software</w:t>
      </w:r>
      <w:proofErr w:type="spellEnd"/>
      <w:r>
        <w:rPr>
          <w:rFonts w:ascii="Segoe UI" w:hAnsi="Segoe UI" w:cs="Segoe UI"/>
          <w:color w:val="24292F"/>
        </w:rPr>
        <w:t xml:space="preserve"> AG. Ведущие аналитические компании </w:t>
      </w:r>
      <w:proofErr w:type="spellStart"/>
      <w:r>
        <w:rPr>
          <w:rFonts w:ascii="Segoe UI" w:hAnsi="Segoe UI" w:cs="Segoe UI"/>
          <w:color w:val="24292F"/>
        </w:rPr>
        <w:t>Gartner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Group</w:t>
      </w:r>
      <w:proofErr w:type="spellEnd"/>
      <w:r>
        <w:rPr>
          <w:rFonts w:ascii="Segoe UI" w:hAnsi="Segoe UI" w:cs="Segoe UI"/>
          <w:color w:val="24292F"/>
        </w:rPr>
        <w:t xml:space="preserve"> и </w:t>
      </w:r>
      <w:proofErr w:type="spellStart"/>
      <w:r>
        <w:rPr>
          <w:rFonts w:ascii="Segoe UI" w:hAnsi="Segoe UI" w:cs="Segoe UI"/>
          <w:color w:val="24292F"/>
        </w:rPr>
        <w:t>Forrester</w:t>
      </w:r>
      <w:proofErr w:type="spellEnd"/>
      <w:r>
        <w:rPr>
          <w:rFonts w:ascii="Segoe UI" w:hAnsi="Segoe UI" w:cs="Segoe UI"/>
          <w:color w:val="24292F"/>
        </w:rPr>
        <w:t xml:space="preserve"> </w:t>
      </w:r>
      <w:proofErr w:type="spellStart"/>
      <w:r>
        <w:rPr>
          <w:rFonts w:ascii="Segoe UI" w:hAnsi="Segoe UI" w:cs="Segoe UI"/>
          <w:color w:val="24292F"/>
        </w:rPr>
        <w:t>Research</w:t>
      </w:r>
      <w:proofErr w:type="spellEnd"/>
      <w:r>
        <w:rPr>
          <w:rFonts w:ascii="Segoe UI" w:hAnsi="Segoe UI" w:cs="Segoe UI"/>
          <w:color w:val="24292F"/>
        </w:rPr>
        <w:t xml:space="preserve"> относят компанию IDS </w:t>
      </w:r>
      <w:proofErr w:type="spellStart"/>
      <w:r>
        <w:rPr>
          <w:rFonts w:ascii="Segoe UI" w:hAnsi="Segoe UI" w:cs="Segoe UI"/>
          <w:color w:val="24292F"/>
        </w:rPr>
        <w:t>Scheer</w:t>
      </w:r>
      <w:proofErr w:type="spellEnd"/>
      <w:r>
        <w:rPr>
          <w:rFonts w:ascii="Segoe UI" w:hAnsi="Segoe UI" w:cs="Segoe UI"/>
          <w:color w:val="24292F"/>
        </w:rPr>
        <w:t xml:space="preserve"> к лидерам мирового рынка средств моделирования и анализа бизнес-процессов.</w:t>
      </w:r>
    </w:p>
    <w:p w:rsidR="00000342" w:rsidRDefault="00000342" w:rsidP="00000342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ARIS </w:t>
      </w:r>
      <w:proofErr w:type="spellStart"/>
      <w:r>
        <w:rPr>
          <w:rFonts w:ascii="Segoe UI" w:hAnsi="Segoe UI" w:cs="Segoe UI"/>
          <w:color w:val="24292F"/>
        </w:rPr>
        <w:t>Express</w:t>
      </w:r>
      <w:proofErr w:type="spellEnd"/>
      <w:r>
        <w:rPr>
          <w:rFonts w:ascii="Segoe UI" w:hAnsi="Segoe UI" w:cs="Segoe UI"/>
          <w:color w:val="24292F"/>
        </w:rPr>
        <w:t xml:space="preserve"> поддерживает следующие типы моделей: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Организационная диаграмма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Organizational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chart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Бизнес-процесс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Business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process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ИТ-инфраструктура (IT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infrastructure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Карта процессов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Process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landscape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lastRenderedPageBreak/>
        <w:t>Модель данных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Карта систем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System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landscape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Доска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Whiteboard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BPMN диаграмма версии 2.0 (BPMN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diagram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p w:rsidR="00000342" w:rsidRPr="00000342" w:rsidRDefault="00000342" w:rsidP="00000342">
      <w:pPr>
        <w:numPr>
          <w:ilvl w:val="0"/>
          <w:numId w:val="4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Общие диаграммы (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General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diagram</w:t>
      </w:r>
      <w:proofErr w:type="spellEnd"/>
      <w:r w:rsidRPr="00000342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)</w:t>
      </w:r>
    </w:p>
    <w:sectPr w:rsidR="00000342" w:rsidRPr="00000342" w:rsidSect="0000034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26E"/>
    <w:multiLevelType w:val="multilevel"/>
    <w:tmpl w:val="65DC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27C52"/>
    <w:multiLevelType w:val="multilevel"/>
    <w:tmpl w:val="717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21EBC"/>
    <w:multiLevelType w:val="multilevel"/>
    <w:tmpl w:val="9E5C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37393"/>
    <w:multiLevelType w:val="multilevel"/>
    <w:tmpl w:val="4A44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13252"/>
    <w:multiLevelType w:val="multilevel"/>
    <w:tmpl w:val="84F6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D4BA7"/>
    <w:multiLevelType w:val="multilevel"/>
    <w:tmpl w:val="23EC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D70B3"/>
    <w:multiLevelType w:val="multilevel"/>
    <w:tmpl w:val="B316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A5976"/>
    <w:multiLevelType w:val="multilevel"/>
    <w:tmpl w:val="8EC2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9C5891"/>
    <w:multiLevelType w:val="multilevel"/>
    <w:tmpl w:val="0CC6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3B4A98"/>
    <w:multiLevelType w:val="multilevel"/>
    <w:tmpl w:val="EA46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DE7C5D"/>
    <w:multiLevelType w:val="multilevel"/>
    <w:tmpl w:val="8FB0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276BA9"/>
    <w:multiLevelType w:val="multilevel"/>
    <w:tmpl w:val="0B2C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01071"/>
    <w:multiLevelType w:val="multilevel"/>
    <w:tmpl w:val="CF9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CB6F65"/>
    <w:multiLevelType w:val="multilevel"/>
    <w:tmpl w:val="747A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004A3A"/>
    <w:multiLevelType w:val="multilevel"/>
    <w:tmpl w:val="AC22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D57032"/>
    <w:multiLevelType w:val="multilevel"/>
    <w:tmpl w:val="1874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AF6712"/>
    <w:multiLevelType w:val="multilevel"/>
    <w:tmpl w:val="C78E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B6201D"/>
    <w:multiLevelType w:val="multilevel"/>
    <w:tmpl w:val="544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766D8E"/>
    <w:multiLevelType w:val="multilevel"/>
    <w:tmpl w:val="450C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6D5610"/>
    <w:multiLevelType w:val="multilevel"/>
    <w:tmpl w:val="FDD0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575C26"/>
    <w:multiLevelType w:val="multilevel"/>
    <w:tmpl w:val="E7A2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D64100"/>
    <w:multiLevelType w:val="multilevel"/>
    <w:tmpl w:val="A09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582285"/>
    <w:multiLevelType w:val="multilevel"/>
    <w:tmpl w:val="0A329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7D51E4"/>
    <w:multiLevelType w:val="multilevel"/>
    <w:tmpl w:val="96DE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2117BD"/>
    <w:multiLevelType w:val="multilevel"/>
    <w:tmpl w:val="CD56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AD6287"/>
    <w:multiLevelType w:val="multilevel"/>
    <w:tmpl w:val="2B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C23611"/>
    <w:multiLevelType w:val="multilevel"/>
    <w:tmpl w:val="C5D2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3668D0"/>
    <w:multiLevelType w:val="multilevel"/>
    <w:tmpl w:val="5E86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ED43BC"/>
    <w:multiLevelType w:val="multilevel"/>
    <w:tmpl w:val="9C08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E61C0"/>
    <w:multiLevelType w:val="multilevel"/>
    <w:tmpl w:val="BF82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D72FBE"/>
    <w:multiLevelType w:val="multilevel"/>
    <w:tmpl w:val="AA9E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0808E7"/>
    <w:multiLevelType w:val="multilevel"/>
    <w:tmpl w:val="7DDCF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B21EDB"/>
    <w:multiLevelType w:val="multilevel"/>
    <w:tmpl w:val="E0CA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CC592C"/>
    <w:multiLevelType w:val="multilevel"/>
    <w:tmpl w:val="50DE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2877A6"/>
    <w:multiLevelType w:val="multilevel"/>
    <w:tmpl w:val="E7F6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6F3AE5"/>
    <w:multiLevelType w:val="multilevel"/>
    <w:tmpl w:val="27A8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494612"/>
    <w:multiLevelType w:val="multilevel"/>
    <w:tmpl w:val="A8CC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146EF8"/>
    <w:multiLevelType w:val="multilevel"/>
    <w:tmpl w:val="D14C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694A13"/>
    <w:multiLevelType w:val="multilevel"/>
    <w:tmpl w:val="FCA29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A20C0"/>
    <w:multiLevelType w:val="multilevel"/>
    <w:tmpl w:val="1766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155BA2"/>
    <w:multiLevelType w:val="multilevel"/>
    <w:tmpl w:val="3F58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1C16FD"/>
    <w:multiLevelType w:val="multilevel"/>
    <w:tmpl w:val="54F0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E703AF"/>
    <w:multiLevelType w:val="multilevel"/>
    <w:tmpl w:val="07AE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A25B7F"/>
    <w:multiLevelType w:val="multilevel"/>
    <w:tmpl w:val="C2B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0E06AD"/>
    <w:multiLevelType w:val="multilevel"/>
    <w:tmpl w:val="A9F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0"/>
  </w:num>
  <w:num w:numId="4">
    <w:abstractNumId w:val="29"/>
  </w:num>
  <w:num w:numId="5">
    <w:abstractNumId w:val="28"/>
  </w:num>
  <w:num w:numId="6">
    <w:abstractNumId w:val="5"/>
  </w:num>
  <w:num w:numId="7">
    <w:abstractNumId w:val="1"/>
  </w:num>
  <w:num w:numId="8">
    <w:abstractNumId w:val="15"/>
  </w:num>
  <w:num w:numId="9">
    <w:abstractNumId w:val="14"/>
  </w:num>
  <w:num w:numId="10">
    <w:abstractNumId w:val="40"/>
  </w:num>
  <w:num w:numId="11">
    <w:abstractNumId w:val="32"/>
  </w:num>
  <w:num w:numId="12">
    <w:abstractNumId w:val="22"/>
  </w:num>
  <w:num w:numId="13">
    <w:abstractNumId w:val="12"/>
  </w:num>
  <w:num w:numId="14">
    <w:abstractNumId w:val="41"/>
  </w:num>
  <w:num w:numId="15">
    <w:abstractNumId w:val="24"/>
  </w:num>
  <w:num w:numId="16">
    <w:abstractNumId w:val="33"/>
  </w:num>
  <w:num w:numId="17">
    <w:abstractNumId w:val="25"/>
  </w:num>
  <w:num w:numId="18">
    <w:abstractNumId w:val="23"/>
  </w:num>
  <w:num w:numId="19">
    <w:abstractNumId w:val="9"/>
  </w:num>
  <w:num w:numId="20">
    <w:abstractNumId w:val="6"/>
  </w:num>
  <w:num w:numId="21">
    <w:abstractNumId w:val="7"/>
  </w:num>
  <w:num w:numId="22">
    <w:abstractNumId w:val="17"/>
  </w:num>
  <w:num w:numId="23">
    <w:abstractNumId w:val="27"/>
  </w:num>
  <w:num w:numId="24">
    <w:abstractNumId w:val="39"/>
  </w:num>
  <w:num w:numId="25">
    <w:abstractNumId w:val="3"/>
  </w:num>
  <w:num w:numId="26">
    <w:abstractNumId w:val="37"/>
  </w:num>
  <w:num w:numId="27">
    <w:abstractNumId w:val="31"/>
  </w:num>
  <w:num w:numId="28">
    <w:abstractNumId w:val="30"/>
  </w:num>
  <w:num w:numId="29">
    <w:abstractNumId w:val="4"/>
  </w:num>
  <w:num w:numId="30">
    <w:abstractNumId w:val="21"/>
  </w:num>
  <w:num w:numId="31">
    <w:abstractNumId w:val="18"/>
  </w:num>
  <w:num w:numId="32">
    <w:abstractNumId w:val="36"/>
  </w:num>
  <w:num w:numId="33">
    <w:abstractNumId w:val="43"/>
  </w:num>
  <w:num w:numId="34">
    <w:abstractNumId w:val="2"/>
  </w:num>
  <w:num w:numId="35">
    <w:abstractNumId w:val="11"/>
  </w:num>
  <w:num w:numId="36">
    <w:abstractNumId w:val="34"/>
  </w:num>
  <w:num w:numId="37">
    <w:abstractNumId w:val="38"/>
  </w:num>
  <w:num w:numId="38">
    <w:abstractNumId w:val="13"/>
  </w:num>
  <w:num w:numId="39">
    <w:abstractNumId w:val="44"/>
  </w:num>
  <w:num w:numId="40">
    <w:abstractNumId w:val="19"/>
  </w:num>
  <w:num w:numId="41">
    <w:abstractNumId w:val="42"/>
  </w:num>
  <w:num w:numId="42">
    <w:abstractNumId w:val="8"/>
  </w:num>
  <w:num w:numId="43">
    <w:abstractNumId w:val="16"/>
  </w:num>
  <w:num w:numId="44">
    <w:abstractNumId w:val="35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42"/>
    <w:rsid w:val="00000342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00034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0342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034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34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00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0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000342"/>
    <w:rPr>
      <w:color w:val="0000FF"/>
      <w:u w:val="single"/>
    </w:rPr>
  </w:style>
  <w:style w:type="character" w:styleId="a6">
    <w:name w:val="Emphasis"/>
    <w:basedOn w:val="a0"/>
    <w:uiPriority w:val="20"/>
    <w:qFormat/>
    <w:rsid w:val="0000034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0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00034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0342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034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34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00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0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000342"/>
    <w:rPr>
      <w:color w:val="0000FF"/>
      <w:u w:val="single"/>
    </w:rPr>
  </w:style>
  <w:style w:type="character" w:styleId="a6">
    <w:name w:val="Emphasis"/>
    <w:basedOn w:val="a0"/>
    <w:uiPriority w:val="20"/>
    <w:qFormat/>
    <w:rsid w:val="0000034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0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46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05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73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7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88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2023-01-23T19:53:00Z</dcterms:created>
  <dcterms:modified xsi:type="dcterms:W3CDTF">2023-01-23T20:00:00Z</dcterms:modified>
</cp:coreProperties>
</file>