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CE5" w:rsidRPr="001A6CE5" w:rsidRDefault="001A6CE5" w:rsidP="001A6CE5">
      <w:pPr>
        <w:spacing w:after="0" w:line="240" w:lineRule="auto"/>
        <w:jc w:val="center"/>
        <w:rPr>
          <w:b/>
          <w:sz w:val="20"/>
          <w:szCs w:val="20"/>
        </w:rPr>
      </w:pPr>
      <w:r w:rsidRPr="001A6CE5">
        <w:rPr>
          <w:b/>
          <w:bCs/>
          <w:sz w:val="20"/>
          <w:szCs w:val="20"/>
        </w:rPr>
        <w:t>Основы логики. Логические операции и таблицы истинности</w:t>
      </w:r>
    </w:p>
    <w:p w:rsidR="001A6CE5" w:rsidRPr="001A6CE5" w:rsidRDefault="001A6CE5" w:rsidP="001A6CE5">
      <w:pPr>
        <w:spacing w:after="0" w:line="240" w:lineRule="auto"/>
        <w:rPr>
          <w:sz w:val="20"/>
          <w:szCs w:val="20"/>
        </w:rPr>
      </w:pPr>
      <w:r w:rsidRPr="001A6CE5">
        <w:rPr>
          <w:sz w:val="20"/>
          <w:szCs w:val="20"/>
        </w:rPr>
        <w:t>На данной странице будут рассмотрены 6 логических операций: конъюнкция, дизъюнкция, инверсия, импликация, эквивалентность и исключающие или, которых вам будет достаточно для решения сложных логических выражений. Также мы рассмотрим порядок выполнения данных логических операций в сложных логических выражениях и представим таблицы истинности для каждой логической операции. </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bCs/>
          <w:sz w:val="20"/>
          <w:szCs w:val="20"/>
        </w:rPr>
        <w:t>Глоссарий, определения логики</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Высказывание - это повествовательное предложение, про которое можно определенно сказать истинно оно или ложно (истина (логическая 1), ложь (логический 0)).</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Логические операции - мыслительные действия, результатом которых является изменение содержания или объема понятий, а также образование новых понятий.</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Логическое выражение - устное утверждение или запись, в которое, наряду с постоянными величинами, обязательно входят переменные величины (объекты). В зависимости от значений этих переменных величин (объектов) логическое выражение может принимать одно из двух возможных значений: истина (логическая 1) или ложь (логический 0).</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Сложное логическое выражение - логическое выражение, состоящее из одного или нескольких простых логических выражений (или сложных логических выражений), соединенных с помощью логических операций.</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Логические операции и таблицы истинности</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1) Логическое умножение или конъюнкция:</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Конъюнкция - это сложное логическое выражение, которое считается истинным в том и только том случае, когда оба простых выражения являются истинными, во всех остальных случаях данное сложенное выражение ложно.</w:t>
      </w:r>
    </w:p>
    <w:p w:rsidR="001A6CE5" w:rsidRPr="001A6CE5" w:rsidRDefault="001A6CE5" w:rsidP="001A6CE5">
      <w:pPr>
        <w:spacing w:after="0" w:line="240" w:lineRule="auto"/>
        <w:rPr>
          <w:sz w:val="20"/>
          <w:szCs w:val="20"/>
        </w:rPr>
      </w:pPr>
      <w:r w:rsidRPr="001A6CE5">
        <w:rPr>
          <w:sz w:val="20"/>
          <w:szCs w:val="20"/>
        </w:rPr>
        <w:t>Обозначение: F = A &amp; B.</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Таблица истинности для конъюнкции</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
        <w:gridCol w:w="780"/>
        <w:gridCol w:w="795"/>
      </w:tblGrid>
      <w:tr w:rsidR="001A6CE5" w:rsidRPr="001A6CE5" w:rsidTr="001A6CE5">
        <w:trPr>
          <w:tblCellSpacing w:w="15" w:type="dxa"/>
          <w:jc w:val="center"/>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A</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B</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F</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bl>
    <w:p w:rsidR="001A6CE5" w:rsidRPr="001A6CE5" w:rsidRDefault="001A6CE5" w:rsidP="001A6CE5">
      <w:pPr>
        <w:spacing w:after="0" w:line="240" w:lineRule="auto"/>
        <w:rPr>
          <w:sz w:val="20"/>
          <w:szCs w:val="20"/>
        </w:rPr>
      </w:pPr>
      <w:bookmarkStart w:id="0" w:name="2"/>
      <w:bookmarkEnd w:id="0"/>
    </w:p>
    <w:p w:rsidR="001A6CE5" w:rsidRPr="001A6CE5" w:rsidRDefault="001A6CE5" w:rsidP="001A6CE5">
      <w:pPr>
        <w:spacing w:after="0" w:line="240" w:lineRule="auto"/>
        <w:rPr>
          <w:sz w:val="20"/>
          <w:szCs w:val="20"/>
        </w:rPr>
      </w:pPr>
      <w:r w:rsidRPr="001A6CE5">
        <w:rPr>
          <w:bCs/>
          <w:sz w:val="20"/>
          <w:szCs w:val="20"/>
        </w:rPr>
        <w:t>2) Логическое сложение или дизъюнкция:</w:t>
      </w:r>
    </w:p>
    <w:p w:rsidR="001A6CE5" w:rsidRPr="001A6CE5" w:rsidRDefault="001A6CE5" w:rsidP="001A6CE5">
      <w:pPr>
        <w:spacing w:after="0" w:line="240" w:lineRule="auto"/>
        <w:rPr>
          <w:sz w:val="20"/>
          <w:szCs w:val="20"/>
        </w:rPr>
      </w:pPr>
      <w:r w:rsidRPr="001A6CE5">
        <w:rPr>
          <w:sz w:val="20"/>
          <w:szCs w:val="20"/>
        </w:rPr>
        <w:t xml:space="preserve">Дизъюнкция - это сложное логическое выражение, которое истинно, если хотя бы одно из простых логических выражений истинно и ложно тогда и только тогда, когда оба простых логических </w:t>
      </w:r>
      <w:proofErr w:type="spellStart"/>
      <w:r w:rsidRPr="001A6CE5">
        <w:rPr>
          <w:sz w:val="20"/>
          <w:szCs w:val="20"/>
        </w:rPr>
        <w:t>выраженbя</w:t>
      </w:r>
      <w:proofErr w:type="spellEnd"/>
      <w:r w:rsidRPr="001A6CE5">
        <w:rPr>
          <w:sz w:val="20"/>
          <w:szCs w:val="20"/>
        </w:rPr>
        <w:t xml:space="preserve"> ложны.</w:t>
      </w:r>
      <w:r w:rsidRPr="001A6CE5">
        <w:rPr>
          <w:sz w:val="20"/>
          <w:szCs w:val="20"/>
        </w:rPr>
        <w:br/>
        <w:t>Обозначение: F = A v B.</w:t>
      </w:r>
    </w:p>
    <w:p w:rsidR="001A6CE5" w:rsidRPr="001A6CE5" w:rsidRDefault="001A6CE5" w:rsidP="001A6CE5">
      <w:pPr>
        <w:spacing w:after="0" w:line="240" w:lineRule="auto"/>
        <w:rPr>
          <w:sz w:val="20"/>
          <w:szCs w:val="20"/>
        </w:rPr>
      </w:pPr>
      <w:r w:rsidRPr="001A6CE5">
        <w:rPr>
          <w:sz w:val="20"/>
          <w:szCs w:val="20"/>
        </w:rPr>
        <w:t>Таблица истинности для дизъюнкции</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
        <w:gridCol w:w="780"/>
        <w:gridCol w:w="795"/>
      </w:tblGrid>
      <w:tr w:rsidR="001A6CE5" w:rsidRPr="001A6CE5" w:rsidTr="001A6CE5">
        <w:trPr>
          <w:tblCellSpacing w:w="15" w:type="dxa"/>
          <w:jc w:val="center"/>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A</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B</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F</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bl>
    <w:p w:rsidR="001A6CE5" w:rsidRPr="001A6CE5" w:rsidRDefault="001A6CE5" w:rsidP="001A6CE5">
      <w:pPr>
        <w:spacing w:after="0" w:line="240" w:lineRule="auto"/>
        <w:rPr>
          <w:sz w:val="20"/>
          <w:szCs w:val="20"/>
        </w:rPr>
      </w:pPr>
      <w:bookmarkStart w:id="1" w:name="3"/>
      <w:bookmarkEnd w:id="1"/>
    </w:p>
    <w:p w:rsidR="001A6CE5" w:rsidRPr="001A6CE5" w:rsidRDefault="001A6CE5" w:rsidP="001A6CE5">
      <w:pPr>
        <w:spacing w:after="0" w:line="240" w:lineRule="auto"/>
        <w:rPr>
          <w:sz w:val="20"/>
          <w:szCs w:val="20"/>
        </w:rPr>
      </w:pPr>
      <w:r w:rsidRPr="001A6CE5">
        <w:rPr>
          <w:bCs/>
          <w:sz w:val="20"/>
          <w:szCs w:val="20"/>
        </w:rPr>
        <w:t>3) Логическое отрицание или инверсия:</w:t>
      </w:r>
    </w:p>
    <w:p w:rsidR="001A6CE5" w:rsidRPr="001A6CE5" w:rsidRDefault="001A6CE5" w:rsidP="001A6CE5">
      <w:pPr>
        <w:spacing w:after="0" w:line="240" w:lineRule="auto"/>
        <w:rPr>
          <w:sz w:val="20"/>
          <w:szCs w:val="20"/>
        </w:rPr>
      </w:pPr>
      <w:r w:rsidRPr="001A6CE5">
        <w:rPr>
          <w:sz w:val="20"/>
          <w:szCs w:val="20"/>
        </w:rPr>
        <w:t>Инверсия - это сложное логическое выражение, если исходное логическое выражение истинно, то результат отрицания будет ложным, и наоборот, если исходное логическое выражение ложно, то результат отрицания будет истинным. Другими простыми слова, данная операция означает, что к исходному логическому выражению добавляется частица НЕ или слова НЕВЕРНО, ЧТО.</w:t>
      </w:r>
    </w:p>
    <w:p w:rsidR="001A6CE5" w:rsidRPr="001A6CE5" w:rsidRDefault="001A6CE5" w:rsidP="001A6CE5">
      <w:pPr>
        <w:spacing w:after="0" w:line="240" w:lineRule="auto"/>
        <w:rPr>
          <w:sz w:val="20"/>
          <w:szCs w:val="20"/>
        </w:rPr>
      </w:pPr>
      <w:r w:rsidRPr="001A6CE5">
        <w:rPr>
          <w:sz w:val="20"/>
          <w:szCs w:val="20"/>
        </w:rPr>
        <w:t>Обозначение: F = ¬A.</w:t>
      </w:r>
    </w:p>
    <w:p w:rsidR="001A6CE5" w:rsidRPr="001A6CE5" w:rsidRDefault="001A6CE5" w:rsidP="001A6CE5">
      <w:pPr>
        <w:spacing w:after="0" w:line="240" w:lineRule="auto"/>
        <w:rPr>
          <w:sz w:val="20"/>
          <w:szCs w:val="20"/>
        </w:rPr>
      </w:pPr>
      <w:r w:rsidRPr="001A6CE5">
        <w:rPr>
          <w:sz w:val="20"/>
          <w:szCs w:val="20"/>
        </w:rPr>
        <w:lastRenderedPageBreak/>
        <w:t>Таблица истинности для инверсии</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
        <w:gridCol w:w="795"/>
      </w:tblGrid>
      <w:tr w:rsidR="001A6CE5" w:rsidRPr="001A6CE5" w:rsidTr="001A6CE5">
        <w:trPr>
          <w:tblCellSpacing w:w="15" w:type="dxa"/>
          <w:jc w:val="center"/>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A</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w:t>
            </w:r>
            <w:r w:rsidRPr="001A6CE5">
              <w:rPr>
                <w:bCs/>
                <w:sz w:val="20"/>
                <w:szCs w:val="20"/>
              </w:rPr>
              <w:t>А</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bl>
    <w:p w:rsidR="001A6CE5" w:rsidRPr="001A6CE5" w:rsidRDefault="001A6CE5" w:rsidP="001A6CE5">
      <w:pPr>
        <w:spacing w:after="0" w:line="240" w:lineRule="auto"/>
        <w:rPr>
          <w:sz w:val="20"/>
          <w:szCs w:val="20"/>
        </w:rPr>
      </w:pPr>
      <w:bookmarkStart w:id="2" w:name="4"/>
      <w:bookmarkEnd w:id="2"/>
    </w:p>
    <w:p w:rsidR="001A6CE5" w:rsidRPr="001A6CE5" w:rsidRDefault="001A6CE5" w:rsidP="001A6CE5">
      <w:pPr>
        <w:spacing w:after="0" w:line="240" w:lineRule="auto"/>
        <w:rPr>
          <w:sz w:val="20"/>
          <w:szCs w:val="20"/>
        </w:rPr>
      </w:pPr>
      <w:r w:rsidRPr="001A6CE5">
        <w:rPr>
          <w:bCs/>
          <w:sz w:val="20"/>
          <w:szCs w:val="20"/>
        </w:rPr>
        <w:t>4) Логическое следование или импликация:</w:t>
      </w:r>
    </w:p>
    <w:p w:rsidR="001A6CE5" w:rsidRPr="001A6CE5" w:rsidRDefault="001A6CE5" w:rsidP="001A6CE5">
      <w:pPr>
        <w:spacing w:after="0" w:line="240" w:lineRule="auto"/>
        <w:rPr>
          <w:sz w:val="20"/>
          <w:szCs w:val="20"/>
        </w:rPr>
      </w:pPr>
      <w:r w:rsidRPr="001A6CE5">
        <w:rPr>
          <w:sz w:val="20"/>
          <w:szCs w:val="20"/>
        </w:rPr>
        <w:t>Импликация - это сложное логическое выражение, которое истинно во всех случаях, кроме как из истины следует ложь. То есть данная логическая операция связывает два простых логических выражения, из которых первое является условием (А), а второе (В) является следствием.</w:t>
      </w:r>
    </w:p>
    <w:p w:rsidR="001A6CE5" w:rsidRPr="001A6CE5" w:rsidRDefault="001A6CE5" w:rsidP="001A6CE5">
      <w:pPr>
        <w:spacing w:after="0" w:line="240" w:lineRule="auto"/>
        <w:rPr>
          <w:sz w:val="20"/>
          <w:szCs w:val="20"/>
        </w:rPr>
      </w:pPr>
      <w:r w:rsidRPr="001A6CE5">
        <w:rPr>
          <w:sz w:val="20"/>
          <w:szCs w:val="20"/>
        </w:rPr>
        <w:t>«A → B» истинно, если из А может следовать B.</w:t>
      </w:r>
    </w:p>
    <w:p w:rsidR="001A6CE5" w:rsidRPr="001A6CE5" w:rsidRDefault="001A6CE5" w:rsidP="001A6CE5">
      <w:pPr>
        <w:spacing w:after="0" w:line="240" w:lineRule="auto"/>
        <w:rPr>
          <w:sz w:val="20"/>
          <w:szCs w:val="20"/>
        </w:rPr>
      </w:pPr>
      <w:r w:rsidRPr="001A6CE5">
        <w:rPr>
          <w:sz w:val="20"/>
          <w:szCs w:val="20"/>
        </w:rPr>
        <w:t>Обозначение: F = A → B.</w:t>
      </w:r>
    </w:p>
    <w:p w:rsidR="001A6CE5" w:rsidRPr="001A6CE5" w:rsidRDefault="001A6CE5" w:rsidP="001A6CE5">
      <w:pPr>
        <w:spacing w:after="0" w:line="240" w:lineRule="auto"/>
        <w:rPr>
          <w:sz w:val="20"/>
          <w:szCs w:val="20"/>
        </w:rPr>
      </w:pPr>
      <w:r w:rsidRPr="001A6CE5">
        <w:rPr>
          <w:sz w:val="20"/>
          <w:szCs w:val="20"/>
        </w:rPr>
        <w:t>Таблица истинности для импликации</w:t>
      </w:r>
    </w:p>
    <w:p w:rsidR="001A6CE5" w:rsidRPr="001A6CE5" w:rsidRDefault="001A6CE5" w:rsidP="001A6CE5">
      <w:pPr>
        <w:spacing w:after="0" w:line="240" w:lineRule="auto"/>
        <w:rPr>
          <w:sz w:val="20"/>
          <w:szCs w:val="20"/>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
        <w:gridCol w:w="780"/>
        <w:gridCol w:w="795"/>
      </w:tblGrid>
      <w:tr w:rsidR="001A6CE5" w:rsidRPr="001A6CE5" w:rsidTr="001A6CE5">
        <w:trPr>
          <w:tblCellSpacing w:w="15" w:type="dxa"/>
          <w:jc w:val="center"/>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A</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B</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F</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bl>
    <w:p w:rsidR="001A6CE5" w:rsidRPr="001A6CE5" w:rsidRDefault="001A6CE5" w:rsidP="001A6CE5">
      <w:pPr>
        <w:spacing w:after="0" w:line="240" w:lineRule="auto"/>
        <w:rPr>
          <w:sz w:val="20"/>
          <w:szCs w:val="20"/>
        </w:rPr>
      </w:pPr>
      <w:bookmarkStart w:id="3" w:name="5"/>
      <w:bookmarkEnd w:id="3"/>
    </w:p>
    <w:p w:rsidR="001A6CE5" w:rsidRPr="001A6CE5" w:rsidRDefault="001A6CE5" w:rsidP="001A6CE5">
      <w:pPr>
        <w:spacing w:after="0" w:line="240" w:lineRule="auto"/>
        <w:rPr>
          <w:sz w:val="20"/>
          <w:szCs w:val="20"/>
        </w:rPr>
      </w:pPr>
      <w:r w:rsidRPr="001A6CE5">
        <w:rPr>
          <w:bCs/>
          <w:sz w:val="20"/>
          <w:szCs w:val="20"/>
        </w:rPr>
        <w:t>5) Логическая равнозначность или эквивалентность:</w:t>
      </w:r>
    </w:p>
    <w:p w:rsidR="001A6CE5" w:rsidRPr="001A6CE5" w:rsidRDefault="001A6CE5" w:rsidP="001A6CE5">
      <w:pPr>
        <w:spacing w:after="0" w:line="240" w:lineRule="auto"/>
        <w:rPr>
          <w:sz w:val="20"/>
          <w:szCs w:val="20"/>
        </w:rPr>
      </w:pPr>
      <w:r w:rsidRPr="001A6CE5">
        <w:rPr>
          <w:sz w:val="20"/>
          <w:szCs w:val="20"/>
        </w:rPr>
        <w:t>Эквивалентность - это сложное логическое выражение, которое является истинным тогда и только тогда, когда оба простых логических выражения имеют одинаковую истинность.</w:t>
      </w:r>
    </w:p>
    <w:p w:rsidR="001A6CE5" w:rsidRPr="001A6CE5" w:rsidRDefault="001A6CE5" w:rsidP="001A6CE5">
      <w:pPr>
        <w:spacing w:after="0" w:line="240" w:lineRule="auto"/>
        <w:rPr>
          <w:sz w:val="20"/>
          <w:szCs w:val="20"/>
        </w:rPr>
      </w:pPr>
      <w:r w:rsidRPr="001A6CE5">
        <w:rPr>
          <w:sz w:val="20"/>
          <w:szCs w:val="20"/>
        </w:rPr>
        <w:t>«A ↔ B» истинно тогда и только тогда, когда А и B равны.</w:t>
      </w:r>
      <w:r w:rsidRPr="001A6CE5">
        <w:rPr>
          <w:sz w:val="20"/>
          <w:szCs w:val="20"/>
        </w:rPr>
        <w:br/>
        <w:t>Обозначение: F = A ↔ B.</w:t>
      </w:r>
      <w:r w:rsidRPr="001A6CE5">
        <w:rPr>
          <w:sz w:val="20"/>
          <w:szCs w:val="20"/>
        </w:rPr>
        <w:br/>
        <w:t>Таблица истинности для эквивалентности</w:t>
      </w:r>
    </w:p>
    <w:p w:rsidR="001A6CE5" w:rsidRPr="001A6CE5" w:rsidRDefault="001A6CE5" w:rsidP="001A6CE5">
      <w:pPr>
        <w:spacing w:after="0" w:line="240" w:lineRule="auto"/>
        <w:rPr>
          <w:sz w:val="20"/>
          <w:szCs w:val="20"/>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
        <w:gridCol w:w="780"/>
        <w:gridCol w:w="795"/>
      </w:tblGrid>
      <w:tr w:rsidR="001A6CE5" w:rsidRPr="001A6CE5" w:rsidTr="001A6CE5">
        <w:trPr>
          <w:tblCellSpacing w:w="15" w:type="dxa"/>
          <w:jc w:val="center"/>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A</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B</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F</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bl>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br/>
        <w:t>6) </w:t>
      </w:r>
      <w:r w:rsidRPr="001A6CE5">
        <w:rPr>
          <w:bCs/>
          <w:sz w:val="20"/>
          <w:szCs w:val="20"/>
        </w:rPr>
        <w:t>Операция XOR (исключающие или)</w:t>
      </w:r>
    </w:p>
    <w:p w:rsidR="001A6CE5" w:rsidRPr="001A6CE5" w:rsidRDefault="001A6CE5" w:rsidP="001A6CE5">
      <w:pPr>
        <w:spacing w:after="0" w:line="240" w:lineRule="auto"/>
        <w:rPr>
          <w:sz w:val="20"/>
          <w:szCs w:val="20"/>
        </w:rPr>
      </w:pPr>
      <w:r w:rsidRPr="001A6CE5">
        <w:rPr>
          <w:sz w:val="20"/>
          <w:szCs w:val="20"/>
        </w:rPr>
        <w:t xml:space="preserve">«A </w:t>
      </w:r>
      <w:r w:rsidRPr="001A6CE5">
        <w:rPr>
          <w:rFonts w:ascii="Cambria Math" w:hAnsi="Cambria Math" w:cs="Cambria Math"/>
          <w:sz w:val="20"/>
          <w:szCs w:val="20"/>
        </w:rPr>
        <w:t>⊕</w:t>
      </w:r>
      <w:r w:rsidRPr="001A6CE5">
        <w:rPr>
          <w:sz w:val="20"/>
          <w:szCs w:val="20"/>
        </w:rPr>
        <w:t xml:space="preserve"> B</w:t>
      </w:r>
      <w:r w:rsidRPr="001A6CE5">
        <w:rPr>
          <w:rFonts w:ascii="Calibri" w:hAnsi="Calibri" w:cs="Calibri"/>
          <w:sz w:val="20"/>
          <w:szCs w:val="20"/>
        </w:rPr>
        <w:t>»</w:t>
      </w:r>
      <w:r w:rsidRPr="001A6CE5">
        <w:rPr>
          <w:sz w:val="20"/>
          <w:szCs w:val="20"/>
        </w:rPr>
        <w:t xml:space="preserve"> </w:t>
      </w:r>
      <w:r w:rsidRPr="001A6CE5">
        <w:rPr>
          <w:rFonts w:ascii="Calibri" w:hAnsi="Calibri" w:cs="Calibri"/>
          <w:sz w:val="20"/>
          <w:szCs w:val="20"/>
        </w:rPr>
        <w:t>истинно</w:t>
      </w:r>
      <w:r w:rsidRPr="001A6CE5">
        <w:rPr>
          <w:sz w:val="20"/>
          <w:szCs w:val="20"/>
        </w:rPr>
        <w:t xml:space="preserve"> </w:t>
      </w:r>
      <w:r w:rsidRPr="001A6CE5">
        <w:rPr>
          <w:rFonts w:ascii="Calibri" w:hAnsi="Calibri" w:cs="Calibri"/>
          <w:sz w:val="20"/>
          <w:szCs w:val="20"/>
        </w:rPr>
        <w:t>тогда</w:t>
      </w:r>
      <w:r w:rsidRPr="001A6CE5">
        <w:rPr>
          <w:sz w:val="20"/>
          <w:szCs w:val="20"/>
        </w:rPr>
        <w:t xml:space="preserve">, </w:t>
      </w:r>
      <w:r w:rsidRPr="001A6CE5">
        <w:rPr>
          <w:rFonts w:ascii="Calibri" w:hAnsi="Calibri" w:cs="Calibri"/>
          <w:sz w:val="20"/>
          <w:szCs w:val="20"/>
        </w:rPr>
        <w:t>когда</w:t>
      </w:r>
      <w:r w:rsidRPr="001A6CE5">
        <w:rPr>
          <w:sz w:val="20"/>
          <w:szCs w:val="20"/>
        </w:rPr>
        <w:t xml:space="preserve"> </w:t>
      </w:r>
      <w:r w:rsidRPr="001A6CE5">
        <w:rPr>
          <w:rFonts w:ascii="Calibri" w:hAnsi="Calibri" w:cs="Calibri"/>
          <w:sz w:val="20"/>
          <w:szCs w:val="20"/>
        </w:rPr>
        <w:t>истинно</w:t>
      </w:r>
      <w:r w:rsidRPr="001A6CE5">
        <w:rPr>
          <w:sz w:val="20"/>
          <w:szCs w:val="20"/>
        </w:rPr>
        <w:t xml:space="preserve"> </w:t>
      </w:r>
      <w:r w:rsidRPr="001A6CE5">
        <w:rPr>
          <w:rFonts w:ascii="Calibri" w:hAnsi="Calibri" w:cs="Calibri"/>
          <w:sz w:val="20"/>
          <w:szCs w:val="20"/>
        </w:rPr>
        <w:t>А</w:t>
      </w:r>
      <w:r w:rsidRPr="001A6CE5">
        <w:rPr>
          <w:sz w:val="20"/>
          <w:szCs w:val="20"/>
        </w:rPr>
        <w:t xml:space="preserve"> </w:t>
      </w:r>
      <w:r w:rsidRPr="001A6CE5">
        <w:rPr>
          <w:rFonts w:ascii="Calibri" w:hAnsi="Calibri" w:cs="Calibri"/>
          <w:sz w:val="20"/>
          <w:szCs w:val="20"/>
        </w:rPr>
        <w:t>или</w:t>
      </w:r>
      <w:r w:rsidRPr="001A6CE5">
        <w:rPr>
          <w:sz w:val="20"/>
          <w:szCs w:val="20"/>
        </w:rPr>
        <w:t xml:space="preserve"> B, </w:t>
      </w:r>
      <w:r w:rsidRPr="001A6CE5">
        <w:rPr>
          <w:rFonts w:ascii="Calibri" w:hAnsi="Calibri" w:cs="Calibri"/>
          <w:sz w:val="20"/>
          <w:szCs w:val="20"/>
        </w:rPr>
        <w:t>но</w:t>
      </w:r>
      <w:r w:rsidRPr="001A6CE5">
        <w:rPr>
          <w:sz w:val="20"/>
          <w:szCs w:val="20"/>
        </w:rPr>
        <w:t xml:space="preserve"> </w:t>
      </w:r>
      <w:r w:rsidRPr="001A6CE5">
        <w:rPr>
          <w:rFonts w:ascii="Calibri" w:hAnsi="Calibri" w:cs="Calibri"/>
          <w:sz w:val="20"/>
          <w:szCs w:val="20"/>
        </w:rPr>
        <w:t>не</w:t>
      </w:r>
      <w:r w:rsidRPr="001A6CE5">
        <w:rPr>
          <w:sz w:val="20"/>
          <w:szCs w:val="20"/>
        </w:rPr>
        <w:t xml:space="preserve"> </w:t>
      </w:r>
      <w:r w:rsidRPr="001A6CE5">
        <w:rPr>
          <w:rFonts w:ascii="Calibri" w:hAnsi="Calibri" w:cs="Calibri"/>
          <w:sz w:val="20"/>
          <w:szCs w:val="20"/>
        </w:rPr>
        <w:t>оба</w:t>
      </w:r>
      <w:r w:rsidRPr="001A6CE5">
        <w:rPr>
          <w:sz w:val="20"/>
          <w:szCs w:val="20"/>
        </w:rPr>
        <w:t xml:space="preserve"> </w:t>
      </w:r>
      <w:r w:rsidRPr="001A6CE5">
        <w:rPr>
          <w:rFonts w:ascii="Calibri" w:hAnsi="Calibri" w:cs="Calibri"/>
          <w:sz w:val="20"/>
          <w:szCs w:val="20"/>
        </w:rPr>
        <w:t>одновременно</w:t>
      </w:r>
      <w:r w:rsidRPr="001A6CE5">
        <w:rPr>
          <w:sz w:val="20"/>
          <w:szCs w:val="20"/>
        </w:rPr>
        <w:t>.</w:t>
      </w:r>
      <w:r w:rsidRPr="001A6CE5">
        <w:rPr>
          <w:sz w:val="20"/>
          <w:szCs w:val="20"/>
        </w:rPr>
        <w:br/>
      </w:r>
      <w:r w:rsidRPr="001A6CE5">
        <w:rPr>
          <w:rFonts w:ascii="Calibri" w:hAnsi="Calibri" w:cs="Calibri"/>
          <w:sz w:val="20"/>
          <w:szCs w:val="20"/>
        </w:rPr>
        <w:t>Эту</w:t>
      </w:r>
      <w:r w:rsidRPr="001A6CE5">
        <w:rPr>
          <w:sz w:val="20"/>
          <w:szCs w:val="20"/>
        </w:rPr>
        <w:t xml:space="preserve"> </w:t>
      </w:r>
      <w:r w:rsidRPr="001A6CE5">
        <w:rPr>
          <w:rFonts w:ascii="Calibri" w:hAnsi="Calibri" w:cs="Calibri"/>
          <w:sz w:val="20"/>
          <w:szCs w:val="20"/>
        </w:rPr>
        <w:t>операцию</w:t>
      </w:r>
      <w:r w:rsidRPr="001A6CE5">
        <w:rPr>
          <w:sz w:val="20"/>
          <w:szCs w:val="20"/>
        </w:rPr>
        <w:t xml:space="preserve"> </w:t>
      </w:r>
      <w:r w:rsidRPr="001A6CE5">
        <w:rPr>
          <w:rFonts w:ascii="Calibri" w:hAnsi="Calibri" w:cs="Calibri"/>
          <w:sz w:val="20"/>
          <w:szCs w:val="20"/>
        </w:rPr>
        <w:t>также</w:t>
      </w:r>
      <w:r w:rsidRPr="001A6CE5">
        <w:rPr>
          <w:sz w:val="20"/>
          <w:szCs w:val="20"/>
        </w:rPr>
        <w:t xml:space="preserve"> </w:t>
      </w:r>
      <w:r w:rsidRPr="001A6CE5">
        <w:rPr>
          <w:rFonts w:ascii="Calibri" w:hAnsi="Calibri" w:cs="Calibri"/>
          <w:sz w:val="20"/>
          <w:szCs w:val="20"/>
        </w:rPr>
        <w:t>называют</w:t>
      </w:r>
      <w:r w:rsidRPr="001A6CE5">
        <w:rPr>
          <w:sz w:val="20"/>
          <w:szCs w:val="20"/>
        </w:rPr>
        <w:t xml:space="preserve"> "</w:t>
      </w:r>
      <w:r w:rsidRPr="001A6CE5">
        <w:rPr>
          <w:rFonts w:ascii="Calibri" w:hAnsi="Calibri" w:cs="Calibri"/>
          <w:sz w:val="20"/>
          <w:szCs w:val="20"/>
        </w:rPr>
        <w:t>сложение</w:t>
      </w:r>
      <w:r w:rsidRPr="001A6CE5">
        <w:rPr>
          <w:sz w:val="20"/>
          <w:szCs w:val="20"/>
        </w:rPr>
        <w:t xml:space="preserve"> </w:t>
      </w:r>
      <w:r w:rsidRPr="001A6CE5">
        <w:rPr>
          <w:rFonts w:ascii="Calibri" w:hAnsi="Calibri" w:cs="Calibri"/>
          <w:sz w:val="20"/>
          <w:szCs w:val="20"/>
        </w:rPr>
        <w:t>по</w:t>
      </w:r>
      <w:r w:rsidRPr="001A6CE5">
        <w:rPr>
          <w:sz w:val="20"/>
          <w:szCs w:val="20"/>
        </w:rPr>
        <w:t xml:space="preserve"> </w:t>
      </w:r>
      <w:r w:rsidRPr="001A6CE5">
        <w:rPr>
          <w:rFonts w:ascii="Calibri" w:hAnsi="Calibri" w:cs="Calibri"/>
          <w:sz w:val="20"/>
          <w:szCs w:val="20"/>
        </w:rPr>
        <w:t>модулю</w:t>
      </w:r>
      <w:r w:rsidRPr="001A6CE5">
        <w:rPr>
          <w:sz w:val="20"/>
          <w:szCs w:val="20"/>
        </w:rPr>
        <w:t xml:space="preserve"> </w:t>
      </w:r>
      <w:r w:rsidRPr="001A6CE5">
        <w:rPr>
          <w:rFonts w:ascii="Calibri" w:hAnsi="Calibri" w:cs="Calibri"/>
          <w:sz w:val="20"/>
          <w:szCs w:val="20"/>
        </w:rPr>
        <w:t>два</w:t>
      </w:r>
      <w:r w:rsidRPr="001A6CE5">
        <w:rPr>
          <w:sz w:val="20"/>
          <w:szCs w:val="20"/>
        </w:rPr>
        <w:t>".</w:t>
      </w:r>
    </w:p>
    <w:p w:rsidR="001A6CE5" w:rsidRPr="001A6CE5" w:rsidRDefault="001A6CE5" w:rsidP="001A6CE5">
      <w:pPr>
        <w:spacing w:after="0" w:line="240" w:lineRule="auto"/>
        <w:rPr>
          <w:sz w:val="20"/>
          <w:szCs w:val="20"/>
        </w:rPr>
      </w:pPr>
      <w:r w:rsidRPr="001A6CE5">
        <w:rPr>
          <w:sz w:val="20"/>
          <w:szCs w:val="20"/>
        </w:rPr>
        <w:t>Обозначение: F = A </w:t>
      </w:r>
      <w:r w:rsidRPr="001A6CE5">
        <w:rPr>
          <w:rFonts w:ascii="Cambria Math" w:hAnsi="Cambria Math" w:cs="Cambria Math"/>
          <w:sz w:val="20"/>
          <w:szCs w:val="20"/>
        </w:rPr>
        <w:t>⊕</w:t>
      </w:r>
      <w:r w:rsidRPr="001A6CE5">
        <w:rPr>
          <w:rFonts w:ascii="Calibri" w:hAnsi="Calibri" w:cs="Calibri"/>
          <w:sz w:val="20"/>
          <w:szCs w:val="20"/>
        </w:rPr>
        <w:t> </w:t>
      </w:r>
      <w:r w:rsidRPr="001A6CE5">
        <w:rPr>
          <w:sz w:val="20"/>
          <w:szCs w:val="20"/>
        </w:rPr>
        <w:t>B.</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5"/>
        <w:gridCol w:w="780"/>
        <w:gridCol w:w="795"/>
      </w:tblGrid>
      <w:tr w:rsidR="001A6CE5" w:rsidRPr="001A6CE5" w:rsidTr="001A6CE5">
        <w:trPr>
          <w:trHeight w:val="300"/>
          <w:tblCellSpacing w:w="15" w:type="dxa"/>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A</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B</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bCs/>
                <w:sz w:val="20"/>
                <w:szCs w:val="20"/>
              </w:rPr>
              <w:t>F</w:t>
            </w:r>
          </w:p>
        </w:tc>
      </w:tr>
      <w:tr w:rsidR="001A6CE5" w:rsidRPr="001A6CE5" w:rsidTr="001A6CE5">
        <w:trPr>
          <w:trHeight w:val="240"/>
          <w:tblCellSpacing w:w="15" w:type="dxa"/>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r w:rsidR="001A6CE5" w:rsidRPr="001A6CE5" w:rsidTr="001A6CE5">
        <w:trPr>
          <w:trHeight w:val="240"/>
          <w:tblCellSpacing w:w="15" w:type="dxa"/>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rHeight w:val="240"/>
          <w:tblCellSpacing w:w="15" w:type="dxa"/>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1</w:t>
            </w:r>
          </w:p>
        </w:tc>
      </w:tr>
      <w:tr w:rsidR="001A6CE5" w:rsidRPr="001A6CE5" w:rsidTr="001A6CE5">
        <w:trPr>
          <w:trHeight w:val="240"/>
          <w:tblCellSpacing w:w="15" w:type="dxa"/>
        </w:trPr>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c>
          <w:tcPr>
            <w:tcW w:w="750" w:type="dxa"/>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sz w:val="20"/>
                <w:szCs w:val="20"/>
              </w:rPr>
            </w:pPr>
            <w:r w:rsidRPr="001A6CE5">
              <w:rPr>
                <w:sz w:val="20"/>
                <w:szCs w:val="20"/>
              </w:rPr>
              <w:t>0</w:t>
            </w:r>
          </w:p>
        </w:tc>
      </w:tr>
    </w:tbl>
    <w:p w:rsidR="001A6CE5" w:rsidRPr="001A6CE5" w:rsidRDefault="001A6CE5" w:rsidP="001A6CE5">
      <w:pPr>
        <w:spacing w:after="0" w:line="240" w:lineRule="auto"/>
        <w:rPr>
          <w:sz w:val="20"/>
          <w:szCs w:val="20"/>
        </w:rPr>
      </w:pPr>
      <w:r w:rsidRPr="001A6CE5">
        <w:rPr>
          <w:sz w:val="20"/>
          <w:szCs w:val="20"/>
        </w:rPr>
        <w:br/>
      </w:r>
    </w:p>
    <w:p w:rsidR="001A6CE5" w:rsidRPr="001A6CE5" w:rsidRDefault="001A6CE5" w:rsidP="001A6CE5">
      <w:pPr>
        <w:spacing w:after="0" w:line="240" w:lineRule="auto"/>
        <w:rPr>
          <w:bCs/>
          <w:sz w:val="20"/>
          <w:szCs w:val="20"/>
        </w:rPr>
      </w:pPr>
      <w:bookmarkStart w:id="4" w:name="TOC--"/>
      <w:bookmarkEnd w:id="4"/>
      <w:r w:rsidRPr="001A6CE5">
        <w:rPr>
          <w:bCs/>
          <w:sz w:val="20"/>
          <w:szCs w:val="20"/>
        </w:rPr>
        <w:t>Порядок выполнения логических операций в сложном логическом выражении</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t>1. Инверсия;</w:t>
      </w:r>
      <w:r w:rsidRPr="001A6CE5">
        <w:rPr>
          <w:sz w:val="20"/>
          <w:szCs w:val="20"/>
        </w:rPr>
        <w:br/>
        <w:t>2. Конъюнкция;</w:t>
      </w:r>
      <w:r w:rsidRPr="001A6CE5">
        <w:rPr>
          <w:sz w:val="20"/>
          <w:szCs w:val="20"/>
        </w:rPr>
        <w:br/>
        <w:t>3. Дизъюнкция;</w:t>
      </w:r>
      <w:r w:rsidRPr="001A6CE5">
        <w:rPr>
          <w:sz w:val="20"/>
          <w:szCs w:val="20"/>
        </w:rPr>
        <w:br/>
        <w:t>4. Импликация;</w:t>
      </w:r>
      <w:r w:rsidRPr="001A6CE5">
        <w:rPr>
          <w:sz w:val="20"/>
          <w:szCs w:val="20"/>
        </w:rPr>
        <w:br/>
        <w:t>5. Эквивалентность.</w:t>
      </w:r>
    </w:p>
    <w:p w:rsidR="001A6CE5" w:rsidRPr="001A6CE5" w:rsidRDefault="001A6CE5" w:rsidP="001A6CE5">
      <w:pPr>
        <w:spacing w:after="0" w:line="240" w:lineRule="auto"/>
        <w:rPr>
          <w:sz w:val="20"/>
          <w:szCs w:val="20"/>
        </w:rPr>
      </w:pPr>
      <w:r w:rsidRPr="001A6CE5">
        <w:rPr>
          <w:sz w:val="20"/>
          <w:szCs w:val="20"/>
        </w:rPr>
        <w:t>Для изменения указанного порядка выполнения логических операций используются скобки.</w:t>
      </w:r>
    </w:p>
    <w:p w:rsidR="001A6CE5" w:rsidRPr="001A6CE5" w:rsidRDefault="001A6CE5" w:rsidP="001A6CE5">
      <w:pPr>
        <w:spacing w:after="0" w:line="240" w:lineRule="auto"/>
        <w:rPr>
          <w:sz w:val="20"/>
          <w:szCs w:val="20"/>
        </w:rPr>
      </w:pPr>
    </w:p>
    <w:p w:rsidR="001A6CE5" w:rsidRPr="001A6CE5" w:rsidRDefault="001A6CE5" w:rsidP="001A6CE5">
      <w:pPr>
        <w:spacing w:after="0" w:line="240" w:lineRule="auto"/>
        <w:rPr>
          <w:sz w:val="20"/>
          <w:szCs w:val="20"/>
        </w:rPr>
      </w:pPr>
      <w:r w:rsidRPr="001A6CE5">
        <w:rPr>
          <w:sz w:val="20"/>
          <w:szCs w:val="20"/>
        </w:rPr>
        <w:lastRenderedPageBreak/>
        <w:br/>
      </w:r>
      <w:r w:rsidRPr="001A6CE5">
        <w:rPr>
          <w:sz w:val="20"/>
          <w:szCs w:val="20"/>
        </w:rPr>
        <w:br/>
        <w:t>Таблицы истинности можно составить и для произвольной логической функции F(a, b, c…).</w:t>
      </w:r>
      <w:r w:rsidRPr="001A6CE5">
        <w:rPr>
          <w:sz w:val="20"/>
          <w:szCs w:val="20"/>
        </w:rPr>
        <w:br/>
      </w:r>
      <w:r w:rsidRPr="001A6CE5">
        <w:rPr>
          <w:sz w:val="20"/>
          <w:szCs w:val="20"/>
        </w:rPr>
        <w:br/>
        <w:t>В общем случае таблицы истинности имеют размер 2</w:t>
      </w:r>
      <w:r w:rsidRPr="001A6CE5">
        <w:rPr>
          <w:sz w:val="20"/>
          <w:szCs w:val="20"/>
          <w:vertAlign w:val="superscript"/>
        </w:rPr>
        <w:t>N</w:t>
      </w:r>
      <w:r w:rsidRPr="001A6CE5">
        <w:rPr>
          <w:sz w:val="20"/>
          <w:szCs w:val="20"/>
        </w:rPr>
        <w:t>  строк комбинаций для N  независимых логических переменных.</w:t>
      </w:r>
    </w:p>
    <w:p w:rsidR="001A6CE5" w:rsidRPr="001A6CE5" w:rsidRDefault="001A6CE5" w:rsidP="001A6CE5">
      <w:pPr>
        <w:spacing w:after="0" w:line="240" w:lineRule="auto"/>
        <w:rPr>
          <w:sz w:val="20"/>
          <w:szCs w:val="20"/>
        </w:rPr>
      </w:pPr>
      <w:r w:rsidRPr="001A6CE5">
        <w:rPr>
          <w:sz w:val="20"/>
          <w:szCs w:val="20"/>
        </w:rPr>
        <w:br/>
        <w:t>Поскольку таблица истинности выражения состоит из строк со всеми возможными комбинациями значений переменных, она полностью определяет значение выражения.</w:t>
      </w:r>
    </w:p>
    <w:p w:rsidR="00CA7584" w:rsidRDefault="00CA7584" w:rsidP="001A6CE5">
      <w:pPr>
        <w:spacing w:after="0" w:line="240" w:lineRule="auto"/>
        <w:rPr>
          <w:sz w:val="20"/>
          <w:szCs w:val="20"/>
        </w:rPr>
      </w:pPr>
    </w:p>
    <w:p w:rsidR="001A6CE5" w:rsidRPr="001A6CE5" w:rsidRDefault="001A6CE5" w:rsidP="001A6CE5">
      <w:pPr>
        <w:shd w:val="clear" w:color="auto" w:fill="FFFFFF"/>
        <w:spacing w:after="0" w:line="240" w:lineRule="auto"/>
        <w:rPr>
          <w:rFonts w:ascii="Arial" w:eastAsia="Times New Roman" w:hAnsi="Arial" w:cs="Arial"/>
          <w:color w:val="666666"/>
          <w:sz w:val="20"/>
          <w:szCs w:val="20"/>
          <w:lang w:eastAsia="ru-RU"/>
        </w:rPr>
      </w:pPr>
      <w:r w:rsidRPr="001A6CE5">
        <w:rPr>
          <w:rFonts w:ascii="Times New Roman" w:eastAsia="Times New Roman" w:hAnsi="Times New Roman" w:cs="Times New Roman"/>
          <w:color w:val="666666"/>
          <w:sz w:val="24"/>
          <w:szCs w:val="24"/>
          <w:lang w:eastAsia="ru-RU"/>
        </w:rPr>
        <w:t>Законы алгебры логики</w:t>
      </w:r>
      <w:r w:rsidRPr="001A6CE5">
        <w:rPr>
          <w:rFonts w:ascii="Times New Roman" w:eastAsia="Times New Roman" w:hAnsi="Times New Roman" w:cs="Times New Roman"/>
          <w:color w:val="666666"/>
          <w:sz w:val="24"/>
          <w:szCs w:val="24"/>
          <w:lang w:eastAsia="ru-RU"/>
        </w:rPr>
        <w:br/>
      </w:r>
      <w:r w:rsidRPr="001A6CE5">
        <w:rPr>
          <w:rFonts w:ascii="Times New Roman" w:eastAsia="Times New Roman" w:hAnsi="Times New Roman" w:cs="Times New Roman"/>
          <w:color w:val="666666"/>
          <w:sz w:val="24"/>
          <w:szCs w:val="24"/>
          <w:lang w:eastAsia="ru-RU"/>
        </w:rPr>
        <w:br/>
        <w:t>Те, кому лень учить эти законы, должны вспомнить алгебру, где знание нескольких способов преобразования позволяет решать очень сложные уравнения.</w:t>
      </w:r>
      <w:r w:rsidRPr="001A6CE5">
        <w:rPr>
          <w:rFonts w:ascii="Times New Roman" w:eastAsia="Times New Roman" w:hAnsi="Times New Roman" w:cs="Times New Roman"/>
          <w:color w:val="666666"/>
          <w:sz w:val="24"/>
          <w:szCs w:val="24"/>
          <w:lang w:eastAsia="ru-RU"/>
        </w:rPr>
        <w:br/>
      </w:r>
      <w:r w:rsidRPr="001A6CE5">
        <w:rPr>
          <w:rFonts w:ascii="Times New Roman" w:eastAsia="Times New Roman" w:hAnsi="Times New Roman" w:cs="Times New Roman"/>
          <w:color w:val="666666"/>
          <w:sz w:val="24"/>
          <w:szCs w:val="24"/>
          <w:lang w:eastAsia="ru-RU"/>
        </w:rPr>
        <w:br/>
        <w:t>Строго говоря, это не законы, а теоремы. Но их доказательство не входит в программу изучения. Впрочем, доказательство обычно основывается на построении полной таблицы истинности.</w:t>
      </w:r>
      <w:r w:rsidRPr="001A6CE5">
        <w:rPr>
          <w:rFonts w:ascii="Times New Roman" w:eastAsia="Times New Roman" w:hAnsi="Times New Roman" w:cs="Times New Roman"/>
          <w:color w:val="666666"/>
          <w:sz w:val="24"/>
          <w:szCs w:val="24"/>
          <w:lang w:eastAsia="ru-RU"/>
        </w:rPr>
        <w:br/>
      </w:r>
      <w:r w:rsidRPr="001A6CE5">
        <w:rPr>
          <w:rFonts w:ascii="Times New Roman" w:eastAsia="Times New Roman" w:hAnsi="Times New Roman" w:cs="Times New Roman"/>
          <w:color w:val="666666"/>
          <w:sz w:val="24"/>
          <w:szCs w:val="24"/>
          <w:lang w:eastAsia="ru-RU"/>
        </w:rPr>
        <w:br/>
        <w:t>Замечание. Знаки алгебры логики намеренно заменены на сложение и умножение.</w:t>
      </w:r>
    </w:p>
    <w:p w:rsidR="001A6CE5" w:rsidRPr="001A6CE5" w:rsidRDefault="001A6CE5" w:rsidP="001A6CE5">
      <w:pPr>
        <w:shd w:val="clear" w:color="auto" w:fill="FFFFFF"/>
        <w:spacing w:after="0" w:line="240" w:lineRule="auto"/>
        <w:rPr>
          <w:rFonts w:ascii="Arial" w:eastAsia="Times New Roman" w:hAnsi="Arial" w:cs="Arial"/>
          <w:color w:val="666666"/>
          <w:sz w:val="20"/>
          <w:szCs w:val="20"/>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
        <w:gridCol w:w="2654"/>
        <w:gridCol w:w="2974"/>
        <w:gridCol w:w="3361"/>
      </w:tblGrid>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 Для ИЛИ, \/</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 Для И, &amp;</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 Примечание</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 0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&amp; 1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Ничего не меняется при действии, константы удаляются</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 1 = 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&amp; 0 = 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Удаляются переменные, так как их оценивание не имеет смысла</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BA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Переместительный (коммутативности)</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 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lang w:eastAsia="ru-RU"/>
              </w:rPr>
              <w:t>Один из операторов всегда 1</w:t>
            </w:r>
          </w:p>
          <w:p w:rsidR="001A6CE5" w:rsidRPr="001A6CE5" w:rsidRDefault="001A6CE5" w:rsidP="001A6CE5">
            <w:pPr>
              <w:spacing w:after="0" w:line="240" w:lineRule="auto"/>
              <w:rPr>
                <w:rFonts w:ascii="Arial" w:eastAsia="Times New Roman" w:hAnsi="Arial" w:cs="Arial"/>
                <w:shd w:val="clear" w:color="auto" w:fill="FFFFFF"/>
                <w:lang w:eastAsia="ru-RU"/>
              </w:rPr>
            </w:pPr>
            <w:r w:rsidRPr="001A6CE5">
              <w:rPr>
                <w:rFonts w:ascii="Arial" w:eastAsia="Times New Roman" w:hAnsi="Arial" w:cs="Arial"/>
                <w:shd w:val="clear" w:color="auto" w:fill="FFFFFF"/>
                <w:lang w:eastAsia="ru-RU"/>
              </w:rPr>
              <w:t>(закон исключения третьего)</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&amp; ¬</w:t>
            </w:r>
            <w:r w:rsidRPr="001A6CE5">
              <w:rPr>
                <w:rFonts w:ascii="Arial" w:eastAsia="Times New Roman" w:hAnsi="Arial" w:cs="Arial"/>
                <w:i/>
                <w:iCs/>
                <w:shd w:val="clear" w:color="auto" w:fill="FFFFFF"/>
                <w:lang w:eastAsia="ru-RU"/>
              </w:rPr>
              <w:t>A </w:t>
            </w:r>
            <w:r w:rsidRPr="001A6CE5">
              <w:rPr>
                <w:rFonts w:ascii="Arial" w:eastAsia="Times New Roman" w:hAnsi="Arial" w:cs="Arial"/>
                <w:shd w:val="clear" w:color="auto" w:fill="FFFFFF"/>
                <w:lang w:eastAsia="ru-RU"/>
              </w:rPr>
              <w:t>= 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lang w:eastAsia="ru-RU"/>
              </w:rPr>
              <w:t>Один из операторов всегда 0</w:t>
            </w:r>
          </w:p>
          <w:p w:rsidR="001A6CE5" w:rsidRPr="001A6CE5" w:rsidRDefault="001A6CE5" w:rsidP="001A6CE5">
            <w:pPr>
              <w:spacing w:after="0" w:line="240" w:lineRule="auto"/>
              <w:rPr>
                <w:rFonts w:ascii="Arial" w:eastAsia="Times New Roman" w:hAnsi="Arial" w:cs="Arial"/>
                <w:shd w:val="clear" w:color="auto" w:fill="FFFFFF"/>
                <w:lang w:eastAsia="ru-RU"/>
              </w:rPr>
            </w:pPr>
            <w:r w:rsidRPr="001A6CE5">
              <w:rPr>
                <w:rFonts w:ascii="Arial" w:eastAsia="Times New Roman" w:hAnsi="Arial" w:cs="Arial"/>
                <w:shd w:val="clear" w:color="auto" w:fill="FFFFFF"/>
                <w:lang w:eastAsia="ru-RU"/>
              </w:rPr>
              <w:t xml:space="preserve">(закон </w:t>
            </w:r>
            <w:proofErr w:type="spellStart"/>
            <w:r w:rsidRPr="001A6CE5">
              <w:rPr>
                <w:rFonts w:ascii="Arial" w:eastAsia="Times New Roman" w:hAnsi="Arial" w:cs="Arial"/>
                <w:shd w:val="clear" w:color="auto" w:fill="FFFFFF"/>
                <w:lang w:eastAsia="ru-RU"/>
              </w:rPr>
              <w:t>непротиворечия</w:t>
            </w:r>
            <w:proofErr w:type="spellEnd"/>
            <w:r w:rsidRPr="001A6CE5">
              <w:rPr>
                <w:rFonts w:ascii="Arial" w:eastAsia="Times New Roman" w:hAnsi="Arial" w:cs="Arial"/>
                <w:shd w:val="clear" w:color="auto" w:fill="FFFFFF"/>
                <w:lang w:eastAsia="ru-RU"/>
              </w:rPr>
              <w:t>)</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&amp; </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Идемпотентности (NB! Вместо </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 можно подставить составное выражение!)</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7</w:t>
            </w:r>
          </w:p>
        </w:tc>
        <w:tc>
          <w:tcPr>
            <w:tcW w:w="0" w:type="auto"/>
            <w:gridSpan w:val="2"/>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А</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Двойное отрицание</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val="en-US"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B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 </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 </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B </w:t>
            </w:r>
            <w:r w:rsidRPr="001A6CE5">
              <w:rPr>
                <w:rFonts w:ascii="Arial" w:eastAsia="Times New Roman" w:hAnsi="Arial" w:cs="Arial"/>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Ассоциативный</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val="en-US"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w:t>
            </w:r>
            <w:r w:rsidRPr="001A6CE5">
              <w:rPr>
                <w:rFonts w:ascii="Times New Roman" w:eastAsia="Times New Roman" w:hAnsi="Times New Roman" w:cs="Times New Roman"/>
                <w:sz w:val="27"/>
                <w:szCs w:val="27"/>
                <w:shd w:val="clear" w:color="auto" w:fill="FFFFFF"/>
                <w:lang w:eastAsia="ru-RU"/>
              </w:rPr>
              <w:t>\/</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B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Дистрибутивный</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B</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B</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Склеивания</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val="en-US"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 </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B</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B</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Правило де Моргана</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12</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&amp;(</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C</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Поглощение</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13</w:t>
            </w:r>
          </w:p>
        </w:tc>
        <w:tc>
          <w:tcPr>
            <w:tcW w:w="0" w:type="auto"/>
            <w:gridSpan w:val="2"/>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bookmarkStart w:id="5" w:name="disimpl"/>
            <w:bookmarkEnd w:id="5"/>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A </w:t>
            </w:r>
            <w:r w:rsidRPr="001A6CE5">
              <w:rPr>
                <w:rFonts w:ascii="Times New Roman" w:eastAsia="Times New Roman" w:hAnsi="Times New Roman" w:cs="Times New Roman"/>
                <w:sz w:val="27"/>
                <w:szCs w:val="27"/>
                <w:shd w:val="clear" w:color="auto" w:fill="FFFFFF"/>
                <w:lang w:eastAsia="ru-RU"/>
              </w:rPr>
              <w:t>\/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и </w:t>
            </w:r>
            <w:r w:rsidRPr="001A6CE5">
              <w:rPr>
                <w:rFonts w:ascii="Arial" w:eastAsia="Times New Roman" w:hAnsi="Arial" w:cs="Arial"/>
                <w:i/>
                <w:iCs/>
                <w:shd w:val="clear" w:color="auto" w:fill="FFFFFF"/>
                <w:lang w:eastAsia="ru-RU"/>
              </w:rPr>
              <w:t>A</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 = ¬</w:t>
            </w:r>
            <w:r w:rsidRPr="001A6CE5">
              <w:rPr>
                <w:rFonts w:ascii="Arial" w:eastAsia="Times New Roman" w:hAnsi="Arial" w:cs="Arial"/>
                <w:i/>
                <w:iCs/>
                <w:shd w:val="clear" w:color="auto" w:fill="FFFFFF"/>
                <w:lang w:eastAsia="ru-RU"/>
              </w:rPr>
              <w:t>B</w:t>
            </w:r>
            <w:r w:rsidRPr="001A6CE5">
              <w:rPr>
                <w:rFonts w:ascii="Arial" w:eastAsia="Times New Roman" w:hAnsi="Arial" w:cs="Arial"/>
                <w:shd w:val="clear" w:color="auto" w:fill="FFFFFF"/>
                <w:lang w:eastAsia="ru-RU"/>
              </w:rPr>
              <w:t>→¬</w:t>
            </w:r>
            <w:r w:rsidRPr="001A6CE5">
              <w:rPr>
                <w:rFonts w:ascii="Arial" w:eastAsia="Times New Roman" w:hAnsi="Arial" w:cs="Arial"/>
                <w:i/>
                <w:iCs/>
                <w:shd w:val="clear" w:color="auto" w:fill="FFFFFF"/>
                <w:lang w:eastAsia="ru-RU"/>
              </w:rPr>
              <w:t>A</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Снятие (замена) импликации</w:t>
            </w:r>
          </w:p>
        </w:tc>
      </w:tr>
      <w:tr w:rsidR="001A6CE5" w:rsidRPr="001A6CE5" w:rsidTr="001A6CE5">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eastAsia="ru-RU"/>
              </w:rPr>
            </w:pPr>
            <w:r w:rsidRPr="001A6CE5">
              <w:rPr>
                <w:rFonts w:ascii="Arial" w:eastAsia="Times New Roman" w:hAnsi="Arial" w:cs="Arial"/>
                <w:shd w:val="clear" w:color="auto" w:fill="FFFFFF"/>
                <w:lang w:eastAsia="ru-RU"/>
              </w:rPr>
              <w:t>14</w:t>
            </w:r>
          </w:p>
        </w:tc>
        <w:tc>
          <w:tcPr>
            <w:tcW w:w="0" w:type="auto"/>
            <w:gridSpan w:val="2"/>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jc w:val="center"/>
              <w:rPr>
                <w:rFonts w:ascii="Arial" w:eastAsia="Times New Roman" w:hAnsi="Arial" w:cs="Arial"/>
                <w:lang w:val="en-US" w:eastAsia="ru-RU"/>
              </w:rPr>
            </w:pPr>
            <w:r w:rsidRPr="001A6CE5">
              <w:rPr>
                <w:rFonts w:ascii="Arial" w:eastAsia="Times New Roman" w:hAnsi="Arial" w:cs="Arial"/>
                <w:lang w:val="en-US" w:eastAsia="ru-RU"/>
              </w:rPr>
              <w:t>1) </w:t>
            </w:r>
            <w:r w:rsidRPr="001A6CE5">
              <w:rPr>
                <w:rFonts w:ascii="Arial" w:eastAsia="Times New Roman" w:hAnsi="Arial" w:cs="Arial"/>
                <w:i/>
                <w:iCs/>
                <w:lang w:val="en-US" w:eastAsia="ru-RU"/>
              </w:rPr>
              <w:t>A</w:t>
            </w:r>
            <w:r w:rsidRPr="001A6CE5">
              <w:rPr>
                <w:rFonts w:ascii="Arial" w:eastAsia="Times New Roman" w:hAnsi="Arial" w:cs="Arial"/>
                <w:lang w:val="en-US" w:eastAsia="ru-RU"/>
              </w:rPr>
              <w:t>↔</w:t>
            </w:r>
            <w:r w:rsidRPr="001A6CE5">
              <w:rPr>
                <w:rFonts w:ascii="Arial" w:eastAsia="Times New Roman" w:hAnsi="Arial" w:cs="Arial"/>
                <w:i/>
                <w:iCs/>
                <w:lang w:val="en-US" w:eastAsia="ru-RU"/>
              </w:rPr>
              <w:t>B</w:t>
            </w:r>
            <w:r w:rsidRPr="001A6CE5">
              <w:rPr>
                <w:rFonts w:ascii="Arial" w:eastAsia="Times New Roman" w:hAnsi="Arial" w:cs="Arial"/>
                <w:lang w:val="en-US" w:eastAsia="ru-RU"/>
              </w:rPr>
              <w:t> = (</w:t>
            </w:r>
            <w:r w:rsidRPr="001A6CE5">
              <w:rPr>
                <w:rFonts w:ascii="Arial" w:eastAsia="Times New Roman" w:hAnsi="Arial" w:cs="Arial"/>
                <w:i/>
                <w:iCs/>
                <w:lang w:val="en-US" w:eastAsia="ru-RU"/>
              </w:rPr>
              <w:t>A</w:t>
            </w:r>
            <w:r w:rsidRPr="001A6CE5">
              <w:rPr>
                <w:rFonts w:ascii="Arial" w:eastAsia="Times New Roman" w:hAnsi="Arial" w:cs="Arial"/>
                <w:lang w:val="en-US" w:eastAsia="ru-RU"/>
              </w:rPr>
              <w:t>&amp;</w:t>
            </w:r>
            <w:r w:rsidRPr="001A6CE5">
              <w:rPr>
                <w:rFonts w:ascii="Arial" w:eastAsia="Times New Roman" w:hAnsi="Arial" w:cs="Arial"/>
                <w:i/>
                <w:iCs/>
                <w:lang w:val="en-US" w:eastAsia="ru-RU"/>
              </w:rPr>
              <w:t>B</w:t>
            </w:r>
            <w:r w:rsidRPr="001A6CE5">
              <w:rPr>
                <w:rFonts w:ascii="Arial" w:eastAsia="Times New Roman" w:hAnsi="Arial" w:cs="Arial"/>
                <w:lang w:val="en-US" w:eastAsia="ru-RU"/>
              </w:rPr>
              <w:t>) </w:t>
            </w:r>
            <w:r w:rsidRPr="001A6CE5">
              <w:rPr>
                <w:rFonts w:ascii="Times New Roman" w:eastAsia="Times New Roman" w:hAnsi="Times New Roman" w:cs="Times New Roman"/>
                <w:sz w:val="27"/>
                <w:szCs w:val="27"/>
                <w:lang w:val="en-US" w:eastAsia="ru-RU"/>
              </w:rPr>
              <w:t>\/ </w:t>
            </w:r>
            <w:r w:rsidRPr="001A6CE5">
              <w:rPr>
                <w:rFonts w:ascii="Arial" w:eastAsia="Times New Roman" w:hAnsi="Arial" w:cs="Arial"/>
                <w:lang w:val="en-US" w:eastAsia="ru-RU"/>
              </w:rPr>
              <w:t>(¬</w:t>
            </w:r>
            <w:r w:rsidRPr="001A6CE5">
              <w:rPr>
                <w:rFonts w:ascii="Arial" w:eastAsia="Times New Roman" w:hAnsi="Arial" w:cs="Arial"/>
                <w:i/>
                <w:iCs/>
                <w:lang w:val="en-US" w:eastAsia="ru-RU"/>
              </w:rPr>
              <w:t>A</w:t>
            </w:r>
            <w:r w:rsidRPr="001A6CE5">
              <w:rPr>
                <w:rFonts w:ascii="Arial" w:eastAsia="Times New Roman" w:hAnsi="Arial" w:cs="Arial"/>
                <w:lang w:val="en-US" w:eastAsia="ru-RU"/>
              </w:rPr>
              <w:t>&amp;¬</w:t>
            </w:r>
            <w:r w:rsidRPr="001A6CE5">
              <w:rPr>
                <w:rFonts w:ascii="Arial" w:eastAsia="Times New Roman" w:hAnsi="Arial" w:cs="Arial"/>
                <w:i/>
                <w:iCs/>
                <w:lang w:val="en-US" w:eastAsia="ru-RU"/>
              </w:rPr>
              <w:t>B</w:t>
            </w:r>
            <w:r w:rsidRPr="001A6CE5">
              <w:rPr>
                <w:rFonts w:ascii="Arial" w:eastAsia="Times New Roman" w:hAnsi="Arial" w:cs="Arial"/>
                <w:lang w:val="en-US" w:eastAsia="ru-RU"/>
              </w:rPr>
              <w:t>)</w:t>
            </w:r>
          </w:p>
          <w:p w:rsidR="001A6CE5" w:rsidRPr="001A6CE5" w:rsidRDefault="001A6CE5" w:rsidP="001A6CE5">
            <w:pPr>
              <w:spacing w:after="0" w:line="240" w:lineRule="auto"/>
              <w:jc w:val="center"/>
              <w:rPr>
                <w:rFonts w:ascii="Arial" w:eastAsia="Times New Roman" w:hAnsi="Arial" w:cs="Arial"/>
                <w:shd w:val="clear" w:color="auto" w:fill="FFFFFF"/>
                <w:lang w:val="en-US" w:eastAsia="ru-RU"/>
              </w:rPr>
            </w:pPr>
            <w:r w:rsidRPr="001A6CE5">
              <w:rPr>
                <w:rFonts w:ascii="Arial" w:eastAsia="Times New Roman" w:hAnsi="Arial" w:cs="Arial"/>
                <w:shd w:val="clear" w:color="auto" w:fill="FFFFFF"/>
                <w:lang w:val="en-US" w:eastAsia="ru-RU"/>
              </w:rPr>
              <w:t>2) </w:t>
            </w:r>
            <w:r w:rsidRPr="001A6CE5">
              <w:rPr>
                <w:rFonts w:ascii="Arial" w:eastAsia="Times New Roman" w:hAnsi="Arial" w:cs="Arial"/>
                <w:i/>
                <w:iCs/>
                <w:shd w:val="clear" w:color="auto" w:fill="FFFFFF"/>
                <w:lang w:val="en-US" w:eastAsia="ru-RU"/>
              </w:rPr>
              <w:t>A</w:t>
            </w:r>
            <w:r w:rsidRPr="001A6CE5">
              <w:rPr>
                <w:rFonts w:ascii="Arial" w:eastAsia="Times New Roman" w:hAnsi="Arial" w:cs="Arial"/>
                <w:shd w:val="clear" w:color="auto" w:fill="FFFFFF"/>
                <w:lang w:val="en-US" w:eastAsia="ru-RU"/>
              </w:rPr>
              <w:t>↔</w:t>
            </w:r>
            <w:r w:rsidRPr="001A6CE5">
              <w:rPr>
                <w:rFonts w:ascii="Arial" w:eastAsia="Times New Roman" w:hAnsi="Arial" w:cs="Arial"/>
                <w:i/>
                <w:iCs/>
                <w:shd w:val="clear" w:color="auto" w:fill="FFFFFF"/>
                <w:lang w:val="en-US" w:eastAsia="ru-RU"/>
              </w:rPr>
              <w:t>B</w:t>
            </w:r>
            <w:r w:rsidRPr="001A6CE5">
              <w:rPr>
                <w:rFonts w:ascii="Arial" w:eastAsia="Times New Roman" w:hAnsi="Arial" w:cs="Arial"/>
                <w:shd w:val="clear" w:color="auto" w:fill="FFFFFF"/>
                <w:lang w:val="en-US" w:eastAsia="ru-RU"/>
              </w:rPr>
              <w:t> = (</w:t>
            </w:r>
            <w:r w:rsidRPr="001A6CE5">
              <w:rPr>
                <w:rFonts w:ascii="Arial" w:eastAsia="Times New Roman" w:hAnsi="Arial" w:cs="Arial"/>
                <w:i/>
                <w:iCs/>
                <w:shd w:val="clear" w:color="auto" w:fill="FFFFFF"/>
                <w:lang w:val="en-US" w:eastAsia="ru-RU"/>
              </w:rPr>
              <w:t>A </w:t>
            </w:r>
            <w:r w:rsidRPr="001A6CE5">
              <w:rPr>
                <w:rFonts w:ascii="Times New Roman" w:eastAsia="Times New Roman" w:hAnsi="Times New Roman" w:cs="Times New Roman"/>
                <w:sz w:val="27"/>
                <w:szCs w:val="27"/>
                <w:shd w:val="clear" w:color="auto" w:fill="FFFFFF"/>
                <w:lang w:val="en-US" w:eastAsia="ru-RU"/>
              </w:rPr>
              <w:t>\/</w:t>
            </w:r>
            <w:r w:rsidRPr="001A6CE5">
              <w:rPr>
                <w:rFonts w:ascii="Arial" w:eastAsia="Times New Roman" w:hAnsi="Arial" w:cs="Arial"/>
                <w:shd w:val="clear" w:color="auto" w:fill="FFFFFF"/>
                <w:lang w:val="en-US" w:eastAsia="ru-RU"/>
              </w:rPr>
              <w:t> ¬</w:t>
            </w:r>
            <w:r w:rsidRPr="001A6CE5">
              <w:rPr>
                <w:rFonts w:ascii="Arial" w:eastAsia="Times New Roman" w:hAnsi="Arial" w:cs="Arial"/>
                <w:i/>
                <w:iCs/>
                <w:shd w:val="clear" w:color="auto" w:fill="FFFFFF"/>
                <w:lang w:val="en-US" w:eastAsia="ru-RU"/>
              </w:rPr>
              <w:t>B</w:t>
            </w:r>
            <w:r w:rsidRPr="001A6CE5">
              <w:rPr>
                <w:rFonts w:ascii="Arial" w:eastAsia="Times New Roman" w:hAnsi="Arial" w:cs="Arial"/>
                <w:shd w:val="clear" w:color="auto" w:fill="FFFFFF"/>
                <w:lang w:val="en-US" w:eastAsia="ru-RU"/>
              </w:rPr>
              <w:t>)&amp;(¬</w:t>
            </w:r>
            <w:r w:rsidRPr="001A6CE5">
              <w:rPr>
                <w:rFonts w:ascii="Arial" w:eastAsia="Times New Roman" w:hAnsi="Arial" w:cs="Arial"/>
                <w:i/>
                <w:iCs/>
                <w:shd w:val="clear" w:color="auto" w:fill="FFFFFF"/>
                <w:lang w:val="en-US" w:eastAsia="ru-RU"/>
              </w:rPr>
              <w:t>A </w:t>
            </w:r>
            <w:r w:rsidRPr="001A6CE5">
              <w:rPr>
                <w:rFonts w:ascii="Times New Roman" w:eastAsia="Times New Roman" w:hAnsi="Times New Roman" w:cs="Times New Roman"/>
                <w:sz w:val="27"/>
                <w:szCs w:val="27"/>
                <w:shd w:val="clear" w:color="auto" w:fill="FFFFFF"/>
                <w:lang w:val="en-US" w:eastAsia="ru-RU"/>
              </w:rPr>
              <w:t>\/</w:t>
            </w:r>
            <w:r w:rsidRPr="001A6CE5">
              <w:rPr>
                <w:rFonts w:ascii="Arial" w:eastAsia="Times New Roman" w:hAnsi="Arial" w:cs="Arial"/>
                <w:shd w:val="clear" w:color="auto" w:fill="FFFFFF"/>
                <w:lang w:val="en-US" w:eastAsia="ru-RU"/>
              </w:rPr>
              <w:t> </w:t>
            </w:r>
            <w:r w:rsidRPr="001A6CE5">
              <w:rPr>
                <w:rFonts w:ascii="Arial" w:eastAsia="Times New Roman" w:hAnsi="Arial" w:cs="Arial"/>
                <w:i/>
                <w:iCs/>
                <w:shd w:val="clear" w:color="auto" w:fill="FFFFFF"/>
                <w:lang w:val="en-US" w:eastAsia="ru-RU"/>
              </w:rPr>
              <w:t>B</w:t>
            </w:r>
            <w:r w:rsidRPr="001A6CE5">
              <w:rPr>
                <w:rFonts w:ascii="Arial" w:eastAsia="Times New Roman" w:hAnsi="Arial" w:cs="Arial"/>
                <w:shd w:val="clear" w:color="auto" w:fill="FFFFFF"/>
                <w:lang w:val="en-US" w:eastAsia="ru-RU"/>
              </w:rPr>
              <w:t>)</w:t>
            </w:r>
          </w:p>
        </w:tc>
        <w:tc>
          <w:tcPr>
            <w:tcW w:w="0" w:type="auto"/>
            <w:tcBorders>
              <w:top w:val="outset" w:sz="6" w:space="0" w:color="auto"/>
              <w:left w:val="outset" w:sz="6" w:space="0" w:color="auto"/>
              <w:bottom w:val="outset" w:sz="6" w:space="0" w:color="auto"/>
              <w:right w:val="outset" w:sz="6" w:space="0" w:color="auto"/>
            </w:tcBorders>
            <w:hideMark/>
          </w:tcPr>
          <w:p w:rsidR="001A6CE5" w:rsidRPr="001A6CE5" w:rsidRDefault="001A6CE5" w:rsidP="001A6CE5">
            <w:pPr>
              <w:spacing w:after="0" w:line="240" w:lineRule="auto"/>
              <w:rPr>
                <w:rFonts w:ascii="Arial" w:eastAsia="Times New Roman" w:hAnsi="Arial" w:cs="Arial"/>
                <w:lang w:eastAsia="ru-RU"/>
              </w:rPr>
            </w:pPr>
            <w:r w:rsidRPr="001A6CE5">
              <w:rPr>
                <w:rFonts w:ascii="Arial" w:eastAsia="Times New Roman" w:hAnsi="Arial" w:cs="Arial"/>
                <w:shd w:val="clear" w:color="auto" w:fill="FFFFFF"/>
                <w:lang w:eastAsia="ru-RU"/>
              </w:rPr>
              <w:t>Снятие (замена) эквивалентности</w:t>
            </w:r>
          </w:p>
        </w:tc>
      </w:tr>
    </w:tbl>
    <w:p w:rsidR="001A6CE5" w:rsidRPr="001A6CE5" w:rsidRDefault="001A6CE5" w:rsidP="001A6CE5">
      <w:pPr>
        <w:shd w:val="clear" w:color="auto" w:fill="FFFFFF"/>
        <w:spacing w:after="0" w:line="240" w:lineRule="auto"/>
        <w:jc w:val="center"/>
        <w:rPr>
          <w:rFonts w:ascii="Times New Roman" w:eastAsia="Times New Roman" w:hAnsi="Times New Roman" w:cs="Times New Roman"/>
          <w:color w:val="666666"/>
          <w:sz w:val="24"/>
          <w:szCs w:val="24"/>
          <w:lang w:eastAsia="ru-RU"/>
        </w:rPr>
      </w:pPr>
    </w:p>
    <w:p w:rsidR="001A6CE5" w:rsidRPr="001A6CE5" w:rsidRDefault="001A6CE5" w:rsidP="001A6CE5">
      <w:pPr>
        <w:shd w:val="clear" w:color="auto" w:fill="FFFFFF"/>
        <w:spacing w:after="0" w:line="240" w:lineRule="auto"/>
        <w:jc w:val="center"/>
        <w:rPr>
          <w:rFonts w:ascii="Times New Roman" w:eastAsia="Times New Roman" w:hAnsi="Times New Roman" w:cs="Times New Roman"/>
          <w:color w:val="666666"/>
          <w:sz w:val="24"/>
          <w:szCs w:val="24"/>
          <w:lang w:eastAsia="ru-RU"/>
        </w:rPr>
      </w:pPr>
    </w:p>
    <w:p w:rsidR="001A6CE5" w:rsidRPr="001A6CE5" w:rsidRDefault="001A6CE5" w:rsidP="001A6CE5">
      <w:pPr>
        <w:shd w:val="clear" w:color="auto" w:fill="FFFFFF"/>
        <w:spacing w:after="0" w:line="240" w:lineRule="auto"/>
        <w:rPr>
          <w:rFonts w:ascii="Arial" w:eastAsia="Times New Roman" w:hAnsi="Arial" w:cs="Arial"/>
          <w:color w:val="666666"/>
          <w:sz w:val="20"/>
          <w:szCs w:val="20"/>
          <w:lang w:eastAsia="ru-RU"/>
        </w:rPr>
      </w:pPr>
    </w:p>
    <w:p w:rsidR="001A6CE5" w:rsidRPr="001A6CE5" w:rsidRDefault="001A6CE5" w:rsidP="001A6CE5">
      <w:pPr>
        <w:spacing w:after="0" w:line="240" w:lineRule="auto"/>
        <w:rPr>
          <w:sz w:val="20"/>
          <w:szCs w:val="20"/>
        </w:rPr>
      </w:pPr>
      <w:bookmarkStart w:id="6" w:name="_GoBack"/>
      <w:bookmarkEnd w:id="6"/>
    </w:p>
    <w:sectPr w:rsidR="001A6CE5" w:rsidRPr="001A6CE5" w:rsidSect="001A6CE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CE5"/>
    <w:rsid w:val="001A6CE5"/>
    <w:rsid w:val="00CA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60A1"/>
  <w15:chartTrackingRefBased/>
  <w15:docId w15:val="{D919A990-4B9A-44AD-ABDF-2EAEF8E3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86434">
      <w:bodyDiv w:val="1"/>
      <w:marLeft w:val="0"/>
      <w:marRight w:val="0"/>
      <w:marTop w:val="0"/>
      <w:marBottom w:val="0"/>
      <w:divBdr>
        <w:top w:val="none" w:sz="0" w:space="0" w:color="auto"/>
        <w:left w:val="none" w:sz="0" w:space="0" w:color="auto"/>
        <w:bottom w:val="none" w:sz="0" w:space="0" w:color="auto"/>
        <w:right w:val="none" w:sz="0" w:space="0" w:color="auto"/>
      </w:divBdr>
      <w:divsChild>
        <w:div w:id="1296180413">
          <w:marLeft w:val="0"/>
          <w:marRight w:val="0"/>
          <w:marTop w:val="0"/>
          <w:marBottom w:val="0"/>
          <w:divBdr>
            <w:top w:val="none" w:sz="0" w:space="0" w:color="auto"/>
            <w:left w:val="none" w:sz="0" w:space="0" w:color="auto"/>
            <w:bottom w:val="none" w:sz="0" w:space="0" w:color="auto"/>
            <w:right w:val="none" w:sz="0" w:space="0" w:color="auto"/>
          </w:divBdr>
        </w:div>
        <w:div w:id="149760918">
          <w:marLeft w:val="0"/>
          <w:marRight w:val="0"/>
          <w:marTop w:val="0"/>
          <w:marBottom w:val="0"/>
          <w:divBdr>
            <w:top w:val="none" w:sz="0" w:space="0" w:color="auto"/>
            <w:left w:val="none" w:sz="0" w:space="0" w:color="auto"/>
            <w:bottom w:val="none" w:sz="0" w:space="0" w:color="auto"/>
            <w:right w:val="none" w:sz="0" w:space="0" w:color="auto"/>
          </w:divBdr>
        </w:div>
      </w:divsChild>
    </w:div>
    <w:div w:id="811755243">
      <w:bodyDiv w:val="1"/>
      <w:marLeft w:val="0"/>
      <w:marRight w:val="0"/>
      <w:marTop w:val="0"/>
      <w:marBottom w:val="0"/>
      <w:divBdr>
        <w:top w:val="none" w:sz="0" w:space="0" w:color="auto"/>
        <w:left w:val="none" w:sz="0" w:space="0" w:color="auto"/>
        <w:bottom w:val="none" w:sz="0" w:space="0" w:color="auto"/>
        <w:right w:val="none" w:sz="0" w:space="0" w:color="auto"/>
      </w:divBdr>
      <w:divsChild>
        <w:div w:id="1109619980">
          <w:marLeft w:val="0"/>
          <w:marRight w:val="0"/>
          <w:marTop w:val="0"/>
          <w:marBottom w:val="0"/>
          <w:divBdr>
            <w:top w:val="none" w:sz="0" w:space="0" w:color="auto"/>
            <w:left w:val="none" w:sz="0" w:space="0" w:color="auto"/>
            <w:bottom w:val="none" w:sz="0" w:space="0" w:color="auto"/>
            <w:right w:val="none" w:sz="0" w:space="0" w:color="auto"/>
          </w:divBdr>
        </w:div>
        <w:div w:id="2134522654">
          <w:marLeft w:val="0"/>
          <w:marRight w:val="0"/>
          <w:marTop w:val="0"/>
          <w:marBottom w:val="0"/>
          <w:divBdr>
            <w:top w:val="none" w:sz="0" w:space="0" w:color="auto"/>
            <w:left w:val="none" w:sz="0" w:space="0" w:color="auto"/>
            <w:bottom w:val="none" w:sz="0" w:space="0" w:color="auto"/>
            <w:right w:val="none" w:sz="0" w:space="0" w:color="auto"/>
          </w:divBdr>
        </w:div>
        <w:div w:id="652180046">
          <w:marLeft w:val="0"/>
          <w:marRight w:val="0"/>
          <w:marTop w:val="0"/>
          <w:marBottom w:val="0"/>
          <w:divBdr>
            <w:top w:val="none" w:sz="0" w:space="0" w:color="auto"/>
            <w:left w:val="none" w:sz="0" w:space="0" w:color="auto"/>
            <w:bottom w:val="none" w:sz="0" w:space="0" w:color="auto"/>
            <w:right w:val="none" w:sz="0" w:space="0" w:color="auto"/>
          </w:divBdr>
        </w:div>
        <w:div w:id="525287316">
          <w:marLeft w:val="0"/>
          <w:marRight w:val="0"/>
          <w:marTop w:val="0"/>
          <w:marBottom w:val="0"/>
          <w:divBdr>
            <w:top w:val="none" w:sz="0" w:space="0" w:color="auto"/>
            <w:left w:val="none" w:sz="0" w:space="0" w:color="auto"/>
            <w:bottom w:val="none" w:sz="0" w:space="0" w:color="auto"/>
            <w:right w:val="none" w:sz="0" w:space="0" w:color="auto"/>
          </w:divBdr>
        </w:div>
        <w:div w:id="613514275">
          <w:marLeft w:val="0"/>
          <w:marRight w:val="0"/>
          <w:marTop w:val="0"/>
          <w:marBottom w:val="0"/>
          <w:divBdr>
            <w:top w:val="none" w:sz="0" w:space="0" w:color="auto"/>
            <w:left w:val="none" w:sz="0" w:space="0" w:color="auto"/>
            <w:bottom w:val="none" w:sz="0" w:space="0" w:color="auto"/>
            <w:right w:val="none" w:sz="0" w:space="0" w:color="auto"/>
          </w:divBdr>
        </w:div>
        <w:div w:id="1780754706">
          <w:blockQuote w:val="1"/>
          <w:marLeft w:val="600"/>
          <w:marRight w:val="0"/>
          <w:marTop w:val="0"/>
          <w:marBottom w:val="0"/>
          <w:divBdr>
            <w:top w:val="none" w:sz="0" w:space="0" w:color="auto"/>
            <w:left w:val="none" w:sz="0" w:space="0" w:color="auto"/>
            <w:bottom w:val="none" w:sz="0" w:space="0" w:color="auto"/>
            <w:right w:val="none" w:sz="0" w:space="0" w:color="auto"/>
          </w:divBdr>
          <w:divsChild>
            <w:div w:id="1805779764">
              <w:blockQuote w:val="1"/>
              <w:marLeft w:val="600"/>
              <w:marRight w:val="0"/>
              <w:marTop w:val="0"/>
              <w:marBottom w:val="0"/>
              <w:divBdr>
                <w:top w:val="none" w:sz="0" w:space="0" w:color="auto"/>
                <w:left w:val="none" w:sz="0" w:space="0" w:color="auto"/>
                <w:bottom w:val="none" w:sz="0" w:space="0" w:color="auto"/>
                <w:right w:val="none" w:sz="0" w:space="0" w:color="auto"/>
              </w:divBdr>
              <w:divsChild>
                <w:div w:id="1581064324">
                  <w:blockQuote w:val="1"/>
                  <w:marLeft w:val="600"/>
                  <w:marRight w:val="0"/>
                  <w:marTop w:val="0"/>
                  <w:marBottom w:val="0"/>
                  <w:divBdr>
                    <w:top w:val="none" w:sz="0" w:space="0" w:color="auto"/>
                    <w:left w:val="none" w:sz="0" w:space="0" w:color="auto"/>
                    <w:bottom w:val="none" w:sz="0" w:space="0" w:color="auto"/>
                    <w:right w:val="none" w:sz="0" w:space="0" w:color="auto"/>
                  </w:divBdr>
                  <w:divsChild>
                    <w:div w:id="1479226371">
                      <w:blockQuote w:val="1"/>
                      <w:marLeft w:val="600"/>
                      <w:marRight w:val="0"/>
                      <w:marTop w:val="0"/>
                      <w:marBottom w:val="0"/>
                      <w:divBdr>
                        <w:top w:val="none" w:sz="0" w:space="0" w:color="auto"/>
                        <w:left w:val="none" w:sz="0" w:space="0" w:color="auto"/>
                        <w:bottom w:val="none" w:sz="0" w:space="0" w:color="auto"/>
                        <w:right w:val="none" w:sz="0" w:space="0" w:color="auto"/>
                      </w:divBdr>
                      <w:divsChild>
                        <w:div w:id="918442883">
                          <w:blockQuote w:val="1"/>
                          <w:marLeft w:val="600"/>
                          <w:marRight w:val="0"/>
                          <w:marTop w:val="0"/>
                          <w:marBottom w:val="0"/>
                          <w:divBdr>
                            <w:top w:val="none" w:sz="0" w:space="0" w:color="auto"/>
                            <w:left w:val="none" w:sz="0" w:space="0" w:color="auto"/>
                            <w:bottom w:val="none" w:sz="0" w:space="0" w:color="auto"/>
                            <w:right w:val="none" w:sz="0" w:space="0" w:color="auto"/>
                          </w:divBdr>
                          <w:divsChild>
                            <w:div w:id="18150958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29486511">
                                  <w:blockQuote w:val="1"/>
                                  <w:marLeft w:val="600"/>
                                  <w:marRight w:val="0"/>
                                  <w:marTop w:val="0"/>
                                  <w:marBottom w:val="0"/>
                                  <w:divBdr>
                                    <w:top w:val="none" w:sz="0" w:space="0" w:color="auto"/>
                                    <w:left w:val="none" w:sz="0" w:space="0" w:color="auto"/>
                                    <w:bottom w:val="none" w:sz="0" w:space="0" w:color="auto"/>
                                    <w:right w:val="none" w:sz="0" w:space="0" w:color="auto"/>
                                  </w:divBdr>
                                  <w:divsChild>
                                    <w:div w:id="10269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59770">
          <w:marLeft w:val="0"/>
          <w:marRight w:val="0"/>
          <w:marTop w:val="0"/>
          <w:marBottom w:val="0"/>
          <w:divBdr>
            <w:top w:val="none" w:sz="0" w:space="0" w:color="auto"/>
            <w:left w:val="none" w:sz="0" w:space="0" w:color="auto"/>
            <w:bottom w:val="none" w:sz="0" w:space="0" w:color="auto"/>
            <w:right w:val="none" w:sz="0" w:space="0" w:color="auto"/>
          </w:divBdr>
        </w:div>
        <w:div w:id="93528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825</Words>
  <Characters>4705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2022-09-16T08:33:00Z</dcterms:created>
  <dcterms:modified xsi:type="dcterms:W3CDTF">2022-09-16T08:39:00Z</dcterms:modified>
</cp:coreProperties>
</file>